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d52687ca4489db4bd566935dce96a2214f0f796"/>
    <w:p>
      <w:pPr>
        <w:pStyle w:val="Heading1"/>
      </w:pPr>
      <w:r>
        <w:t xml:space="preserve">ACTA DE DECISIÓN DE ADECUACIÓN AL ESQUEMA NACIONAL DE SEGURIDAD · {{ cliente.razon_social | upper }}</w:t>
      </w:r>
    </w:p>
    <w:p>
      <w:pPr>
        <w:pStyle w:val="FirstParagraph"/>
      </w:pPr>
      <w:r>
        <w:rPr>
          <w:bCs/>
          <w:b/>
        </w:rPr>
        <w:t xml:space="preserve">Documento E-010 — Versión {{ proyecto.version_actual if proyecto.version_actual else '1.0' }} — Clasificación: INTERNA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{% set fecha = proyecto.fecha_aprobacion_inicial if proyecto.fecha_aprobacion_inicial else '[fecha]' %}</w:t>
      </w:r>
      <w:r>
        <w:t xml:space="preserve"> </w:t>
      </w:r>
      <w:r>
        <w:t xml:space="preserve">{% set cat = proyecto.categoria_ens if proyecto.categoria_ens else 'MEDIA' %}</w:t>
      </w:r>
    </w:p>
    <w:bookmarkStart w:id="20" w:name="X7fb1e6689cf011a0bb3a0b3c21a62d6ec40182e"/>
    <w:p>
      <w:pPr>
        <w:pStyle w:val="Heading2"/>
      </w:pPr>
      <w:r>
        <w:t xml:space="preserve">1. DATOS DEL ACTA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cliente.razon_social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cliente.nif if cliente.nif else '—'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fecha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Órgano que decide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cliente.organo_aprobador_politicas if cliente.organo_aprobador_politicas else 'Órgano de gobierno superior (Dirección)'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Naturaleza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Decisión formal de adecuación · permanente en expediente SGSI</w:t>
            </w:r>
          </w:p>
        </w:tc>
      </w:tr>
    </w:tbl>
    <w:bookmarkEnd w:id="20"/>
    <w:bookmarkStart w:id="21" w:name="X0d60d27d12cafb7173de735d30391ef712bd866"/>
    <w:p>
      <w:pPr>
        <w:pStyle w:val="Heading2"/>
      </w:pPr>
      <w:r>
        <w:t xml:space="preserve">2. ANTECEDENTES</w:t>
      </w:r>
    </w:p>
    <w:p>
      <w:pPr>
        <w:pStyle w:val="FirstParagraph"/>
      </w:pPr>
      <w:r>
        <w:t xml:space="preserve">La Dirección de</w:t>
      </w:r>
      <w:r>
        <w:t xml:space="preserve"> </w:t>
      </w:r>
      <w:r>
        <w:rPr>
          <w:bCs/>
          <w:b/>
        </w:rPr>
        <w:t xml:space="preserve">{{ cliente.razon_social }}</w:t>
      </w:r>
      <w:r>
        <w:t xml:space="preserve">, consciente de la dependencia de la Entidad respecto de los sistemas y servicios de información y de las obligaciones derivadas de su relación con el sector público, examina la necesidad de adecuar dichos sistemas al</w:t>
      </w:r>
      <w:r>
        <w:t xml:space="preserve"> </w:t>
      </w:r>
      <w:r>
        <w:rPr>
          <w:bCs/>
          <w:b/>
        </w:rPr>
        <w:t xml:space="preserve">Esquema Nacional de Seguridad (Real Decreto 311/2022, de 3 de mayo)</w:t>
      </w:r>
      <w:r>
        <w:t xml:space="preserve">.</w:t>
      </w:r>
    </w:p>
    <w:p>
      <w:pPr>
        <w:pStyle w:val="BodyText"/>
      </w:pPr>
      <w:r>
        <w:t xml:space="preserve">Conforme a la medida</w:t>
      </w:r>
      <w:r>
        <w:t xml:space="preserve"> </w:t>
      </w:r>
      <w:r>
        <w:rPr>
          <w:bCs/>
          <w:b/>
        </w:rPr>
        <w:t xml:space="preserve">org.1 (Política de seguridad)</w:t>
      </w:r>
      <w:r>
        <w:t xml:space="preserve"> </w:t>
      </w:r>
      <w:r>
        <w:t xml:space="preserve">del Anexo II del RD 311/2022 y al compromiso de la Dirección exigido por el propio Esquema, la adecuación al ENS requiere una</w:t>
      </w:r>
      <w:r>
        <w:t xml:space="preserve"> </w:t>
      </w:r>
      <w:r>
        <w:rPr>
          <w:bCs/>
          <w:b/>
        </w:rPr>
        <w:t xml:space="preserve">decisión expresa y documentada del órgano de gobierno</w:t>
      </w:r>
      <w:r>
        <w:t xml:space="preserve"> </w:t>
      </w:r>
      <w:r>
        <w:t xml:space="preserve">que la impulse, dote de recursos y respalde.</w:t>
      </w:r>
    </w:p>
    <w:bookmarkEnd w:id="21"/>
    <w:bookmarkStart w:id="22" w:name="X37b572ef78915433f5ec2ffb2c25925fe668eac"/>
    <w:p>
      <w:pPr>
        <w:pStyle w:val="Heading2"/>
      </w:pPr>
      <w:r>
        <w:t xml:space="preserve">3. DECISIONES ADOPTADAS</w:t>
      </w:r>
    </w:p>
    <w:p>
      <w:pPr>
        <w:pStyle w:val="FirstParagraph"/>
      </w:pPr>
      <w:r>
        <w:t xml:space="preserve">La Dirección</w:t>
      </w:r>
      <w:r>
        <w:t xml:space="preserve"> </w:t>
      </w:r>
      <w:r>
        <w:rPr>
          <w:bCs/>
          <w:b/>
        </w:rPr>
        <w:t xml:space="preserve">ACUERDA</w:t>
      </w:r>
      <w:r>
        <w:t xml:space="preserve">:</w:t>
      </w:r>
    </w:p>
    <w:p>
      <w:pPr>
        <w:pStyle w:val="BodyText"/>
      </w:pPr>
      <w:r>
        <w:t xml:space="preserve">a)</w:t>
      </w:r>
      <w:r>
        <w:t xml:space="preserve"> </w:t>
      </w:r>
      <w:r>
        <w:rPr>
          <w:bCs/>
          <w:b/>
        </w:rPr>
        <w:t xml:space="preserve">Impulsar la adecuación</w:t>
      </w:r>
      <w:r>
        <w:t xml:space="preserve"> </w:t>
      </w:r>
      <w:r>
        <w:t xml:space="preserve">de los sistemas de información de la Entidad al Esquema Nacional de Seguridad, en la</w:t>
      </w:r>
      <w:r>
        <w:t xml:space="preserve"> </w:t>
      </w:r>
      <w:r>
        <w:rPr>
          <w:bCs/>
          <w:b/>
        </w:rPr>
        <w:t xml:space="preserve">categoría {{ cat }}</w:t>
      </w:r>
      <w:r>
        <w:t xml:space="preserve"> </w:t>
      </w:r>
      <w:r>
        <w:t xml:space="preserve">resultante de la categorización (acta E-012).</w:t>
      </w:r>
    </w:p>
    <w:p>
      <w:pPr>
        <w:pStyle w:val="BodyText"/>
      </w:pPr>
      <w:r>
        <w:t xml:space="preserve">b)</w:t>
      </w:r>
      <w:r>
        <w:t xml:space="preserve"> </w:t>
      </w:r>
      <w:r>
        <w:rPr>
          <w:bCs/>
          <w:b/>
        </w:rPr>
        <w:t xml:space="preserve">Aprobar la Política de Seguridad de la Información</w:t>
      </w:r>
      <w:r>
        <w:t xml:space="preserve"> </w:t>
      </w:r>
      <w:r>
        <w:t xml:space="preserve">(E-100) y la normativa de seguridad que la desarrolla, asumiendo su contenido como marco de obligado cumplimiento para toda la organización.</w:t>
      </w:r>
    </w:p>
    <w:p>
      <w:pPr>
        <w:pStyle w:val="BodyText"/>
      </w:pPr>
      <w:r>
        <w:t xml:space="preserve">c)</w:t>
      </w:r>
      <w:r>
        <w:t xml:space="preserve"> </w:t>
      </w:r>
      <w:r>
        <w:rPr>
          <w:bCs/>
          <w:b/>
        </w:rPr>
        <w:t xml:space="preserve">Designar al Responsable de la Seguridad</w:t>
      </w:r>
      <w:r>
        <w:t xml:space="preserve"> </w:t>
      </w:r>
      <w:r>
        <w:t xml:space="preserve">y los demás roles ENS del artículo 11 del RD 311/2022, formalizados en el acta de nombramiento de roles (E-002).</w:t>
      </w:r>
    </w:p>
    <w:p>
      <w:pPr>
        <w:pStyle w:val="BodyText"/>
      </w:pPr>
      <w:r>
        <w:t xml:space="preserve">d)</w:t>
      </w:r>
      <w:r>
        <w:t xml:space="preserve"> </w:t>
      </w:r>
      <w:r>
        <w:rPr>
          <w:bCs/>
          <w:b/>
        </w:rPr>
        <w:t xml:space="preserve">Dotar de los recursos</w:t>
      </w:r>
      <w:r>
        <w:t xml:space="preserve"> </w:t>
      </w:r>
      <w:r>
        <w:t xml:space="preserve">humanos, técnicos y económicos necesarios para implantar y mantener las medidas del Anexo II aplicables a la categoría {{ cat }}, conforme al Plan de Adecuación (E-150).</w:t>
      </w:r>
    </w:p>
    <w:p>
      <w:pPr>
        <w:pStyle w:val="BodyText"/>
      </w:pPr>
      <w:r>
        <w:t xml:space="preserve">e)</w:t>
      </w:r>
      <w:r>
        <w:t xml:space="preserve"> </w:t>
      </w:r>
      <w:r>
        <w:rPr>
          <w:bCs/>
          <w:b/>
        </w:rPr>
        <w:t xml:space="preserve">Comprometerse con la mejora continua</w:t>
      </w:r>
      <w:r>
        <w:t xml:space="preserve"> </w:t>
      </w:r>
      <w:r>
        <w:t xml:space="preserve">del Sistema de Gestión de Seguridad de la Información y con la revisión periódica de su conformidad.</w:t>
      </w:r>
    </w:p>
    <w:bookmarkEnd w:id="22"/>
    <w:bookmarkStart w:id="23" w:name="X378ec91553b868b78ac3eb1fd6dac0190ee92e2"/>
    <w:p>
      <w:pPr>
        <w:pStyle w:val="Heading2"/>
      </w:pPr>
      <w:r>
        <w:t xml:space="preserve">4. COMPROMISO DE LA DIRECCIÓN</w:t>
      </w:r>
    </w:p>
    <w:p>
      <w:pPr>
        <w:pStyle w:val="FirstParagraph"/>
      </w:pPr>
      <w:r>
        <w:t xml:space="preserve">La Dirección asume el</w:t>
      </w:r>
      <w:r>
        <w:t xml:space="preserve"> </w:t>
      </w:r>
      <w:r>
        <w:rPr>
          <w:bCs/>
          <w:b/>
        </w:rPr>
        <w:t xml:space="preserve">liderazgo y la responsabilidad última</w:t>
      </w:r>
      <w:r>
        <w:t xml:space="preserve"> </w:t>
      </w:r>
      <w:r>
        <w:t xml:space="preserve">sobre la seguridad de la información de la Entidad, respalda al Responsable de la Seguridad en el ejercicio de sus funciones y se compromete a revisar periódicamente la eficacia del SGSI conforme al RD 311/2022.</w:t>
      </w:r>
    </w:p>
    <w:bookmarkEnd w:id="23"/>
    <w:bookmarkStart w:id="24" w:name="X80eeb20c96234e60d89351efebc65977e3be18f"/>
    <w:p>
      <w:pPr>
        <w:pStyle w:val="Heading2"/>
      </w:pPr>
      <w:r>
        <w:t xml:space="preserve">5. APROBACIÓN Y FIRMA</w:t>
      </w:r>
    </w:p>
    <w:p>
      <w:pPr>
        <w:pStyle w:val="FirstParagraph"/>
      </w:pPr>
      <w:r>
        <w:t xml:space="preserve">Esta decisión se adopta por el órgano de gobierno de</w:t>
      </w:r>
      <w:r>
        <w:t xml:space="preserve"> </w:t>
      </w:r>
      <w:r>
        <w:rPr>
          <w:bCs/>
          <w:b/>
        </w:rPr>
        <w:t xml:space="preserve">{{ cliente.razon_social }}</w:t>
      </w:r>
      <w:r>
        <w:t xml:space="preserve"> </w:t>
      </w:r>
      <w:r>
        <w:t xml:space="preserve">y se incorpora con carácter permanente al expediente del SGSI. Es</w:t>
      </w:r>
      <w:r>
        <w:t xml:space="preserve"> </w:t>
      </w:r>
      <w:r>
        <w:rPr>
          <w:bCs/>
          <w:b/>
        </w:rPr>
        <w:t xml:space="preserve">firmable</w:t>
      </w:r>
      <w:r>
        <w:t xml:space="preserve"> </w:t>
      </w:r>
      <w:r>
        <w:t xml:space="preserve">por la Dirección (E-signature TIER 1 · m05_signing).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Aprobado (Dirección)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firmas.aprobado.nombre if firmas and firmas.aprobado else '—'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firmas.aprobado.cargo if firmas and firmas.aprobado else 'Órgano de gobierno superior'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firmas.aprobado.fecha if firmas and firmas.aprobado else fecha }}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generado por Fulkro · {{ consultor.footer_text if consultor and consultor.footer_text else 'Fulkro' }}</w:t>
      </w:r>
    </w:p>
    <w:bookmarkEnd w:id="24"/>
    <w:bookmarkEnd w:id="25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E-010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E-010 · ACTA DE DECISIÓN DE ADECUACIÓN AL ENS DE LA DIRECCIÓN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2026-06-12T01:53:44Z</dcterms:created>
  <dcterms:modified xsi:type="dcterms:W3CDTF">2026-06-12T01:53:44Z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ificacion">
    <vt:lpwstr>INTERNA</vt:lpwstr>
  </property>
  <property fmtid="{D5CDD505-2E9C-101B-9397-08002B2CF9AE}" pid="3" name="codigo_documento">
    <vt:lpwstr>E-010</vt:lpwstr>
  </property>
  <property fmtid="{D5CDD505-2E9C-101B-9397-08002B2CF9AE}" pid="4" name="norma_aplicable">
    <vt:lpwstr>RD 311/2022 Anexo II · org.1 (Política de seguridad) + art. 11 + art. 12 (compromiso de la Dirección)</vt:lpwstr>
  </property>
  <property fmtid="{D5CDD505-2E9C-101B-9397-08002B2CF9AE}" pid="5" name="titulo">
    <vt:lpwstr>Acta de Decisión de Adecuación al ENS de la Dirección</vt:lpwstr>
  </property>
  <property fmtid="{D5CDD505-2E9C-101B-9397-08002B2CF9AE}" pid="6" name="version">
    <vt:lpwstr>{{ proyecto.version_actual if proyecto.version_actual else '1.0' }}</vt:lpwstr>
  </property>
</Properties>
</file>