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714785c127f33eb8bca979c7af89f8e1db7e18f"/>
    <w:p>
      <w:pPr>
        <w:pStyle w:val="Heading1"/>
      </w:pPr>
      <w:r>
        <w:t xml:space="preserve">ACTA DE APROBACIÓN DE LA CATEGORIZACIÓN DEL SISTEMA Y DE LA DECLARACIÓN DE APLICABILIDAD · {{ cliente.razon_social | upper }}</w:t>
      </w:r>
    </w:p>
    <w:p>
      <w:pPr>
        <w:pStyle w:val="FirstParagraph"/>
      </w:pPr>
      <w:r>
        <w:rPr>
          <w:bCs/>
          <w:b/>
        </w:rPr>
        <w:t xml:space="preserve">Documento E-012 — Versión {{ proyecto.version_actual if proyecto.version_actual else '1.0'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{% set dec = decision_categorizacion if decision_categorizacion else {} %}</w:t>
      </w:r>
      <w:r>
        <w:t xml:space="preserve"> </w:t>
      </w:r>
      <w:r>
        <w:t xml:space="preserve">{% set nivel = dec.nivel_global if dec and dec.nivel_global else proyecto.categoria_ens %}</w:t>
      </w:r>
      <w:r>
        <w:t xml:space="preserve"> </w:t>
      </w:r>
      <w:r>
        <w:t xml:space="preserve">{% set fecha = dec.fecha_decision if dec and dec.fecha_decision else proyecto.fecha_aprobacion_inicial %}</w:t>
      </w:r>
      <w:r>
        <w:t xml:space="preserve"> </w:t>
      </w:r>
      <w:r>
        <w:t xml:space="preserve">{% set dims = dec.dimensiones if dec and dec.dimensiones else {} %}</w:t>
      </w:r>
    </w:p>
    <w:bookmarkStart w:id="20" w:name="X7fb1e6689cf011a0bb3a0b3c21a62d6ec40182e"/>
    <w:p>
      <w:pPr>
        <w:pStyle w:val="Heading2"/>
      </w:pPr>
      <w:r>
        <w:t xml:space="preserve">1. DATOS DEL ACTA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aprobación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fecha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de información del ámbito SGSI de</w:t>
            </w:r>
            <w:r>
              <w:t xml:space="preserve"> </w:t>
            </w:r>
            <w:r>
              <w:rPr>
                <w:bCs/>
                <w:b/>
              </w:rPr>
              <w:t xml:space="preserve">{{ cliente.razon_social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Órgano aprobador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 de Seguridad de la 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Metodología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dec.metodologia if dec and dec.metodologia else 'RD 311/2022 Anexo I + CCN-STIC 803' }}</w:t>
            </w:r>
          </w:p>
        </w:tc>
      </w:tr>
    </w:tbl>
    <w:bookmarkEnd w:id="20"/>
    <w:bookmarkStart w:id="21" w:name="X0d60d27d12cafb7173de735d30391ef712bd866"/>
    <w:p>
      <w:pPr>
        <w:pStyle w:val="Heading2"/>
      </w:pPr>
      <w:r>
        <w:t xml:space="preserve">2. ANTECEDENTES</w:t>
      </w:r>
    </w:p>
    <w:p>
      <w:pPr>
        <w:pStyle w:val="FirstParagraph"/>
      </w:pPr>
      <w:r>
        <w:t xml:space="preserve">Conforme al</w:t>
      </w:r>
      <w:r>
        <w:t xml:space="preserve"> </w:t>
      </w:r>
      <w:r>
        <w:rPr>
          <w:bCs/>
          <w:b/>
        </w:rPr>
        <w:t xml:space="preserve">artículo 40</w:t>
      </w:r>
      <w:r>
        <w:t xml:space="preserve"> </w:t>
      </w:r>
      <w:r>
        <w:t xml:space="preserve">del RD 311/2022 y a su</w:t>
      </w:r>
      <w:r>
        <w:t xml:space="preserve"> </w:t>
      </w:r>
      <w:r>
        <w:rPr>
          <w:bCs/>
          <w:b/>
        </w:rPr>
        <w:t xml:space="preserve">Anexo I</w:t>
      </w:r>
      <w:r>
        <w:t xml:space="preserve">, la categorización del sistema debe formalizarse mediante acta del órgano competente, sirviendo de base para la determinación de las medidas aplicables del</w:t>
      </w:r>
      <w:r>
        <w:t xml:space="preserve"> </w:t>
      </w:r>
      <w:r>
        <w:rPr>
          <w:bCs/>
          <w:b/>
        </w:rPr>
        <w:t xml:space="preserve">Anexo II</w:t>
      </w:r>
      <w:r>
        <w:t xml:space="preserve"> </w:t>
      </w:r>
      <w:r>
        <w:t xml:space="preserve">y para la elaboración de la</w:t>
      </w:r>
      <w:r>
        <w:t xml:space="preserve"> </w:t>
      </w:r>
      <w:r>
        <w:rPr>
          <w:bCs/>
          <w:b/>
        </w:rPr>
        <w:t xml:space="preserve">Declaración de Aplicabilidad (DA)</w:t>
      </w:r>
      <w:r>
        <w:t xml:space="preserve">, esta última conforme al</w:t>
      </w:r>
      <w:r>
        <w:t xml:space="preserve"> </w:t>
      </w:r>
      <w:r>
        <w:rPr>
          <w:bCs/>
          <w:b/>
        </w:rPr>
        <w:t xml:space="preserve">artículo 28</w:t>
      </w:r>
      <w:r>
        <w:t xml:space="preserve"> </w:t>
      </w:r>
      <w:r>
        <w:t xml:space="preserve">del mismo Real Decreto.</w:t>
      </w:r>
    </w:p>
    <w:p>
      <w:pPr>
        <w:pStyle w:val="BodyText"/>
      </w:pPr>
      <w:r>
        <w:t xml:space="preserve">El presente acta documenta la decisión adoptada tras el proceso de análisis de las cinco dimensiones de la seguridad (Confidencialidad, Integridad, Disponibilidad, Autenticidad, Trazabilidad) y el cálculo del nivel global del sistema.</w:t>
      </w:r>
    </w:p>
    <w:bookmarkEnd w:id="21"/>
    <w:bookmarkStart w:id="22" w:name="X8aea32e13b79635c7eca14d37f5d6fb03d790e2"/>
    <w:p>
      <w:pPr>
        <w:pStyle w:val="Heading2"/>
      </w:pPr>
      <w:r>
        <w:t xml:space="preserve">3. VALORACIÓN DE DIMENSIONES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asignado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Confidencialidad 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dims.confidencialidad if dims.confidencialidad else 'MEDIO'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 (I)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dims.integridad if dims.integridad else 'MEDIO'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(D)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dims.disponibilidad if dims.disponibilidad else 'MEDIO'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Autenticidad 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dims.autenticidad if dims.autenticidad else 'MEDIO'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Trazabilidad (T)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dims.trazabilidad if dims.trazabilidad else 'MEDIO' }}</w:t>
            </w:r>
          </w:p>
        </w:tc>
      </w:tr>
    </w:tbl>
    <w:bookmarkEnd w:id="22"/>
    <w:bookmarkStart w:id="23" w:name="X7623f0da4f22f802124cc5e66f1b5c0c4bd554b"/>
    <w:p>
      <w:pPr>
        <w:pStyle w:val="Heading2"/>
      </w:pPr>
      <w:r>
        <w:t xml:space="preserve">4. CATEGORÍA GLOBAL DEL SISTEMA</w:t>
      </w:r>
    </w:p>
    <w:p>
      <w:pPr>
        <w:pStyle w:val="FirstParagraph"/>
      </w:pPr>
      <w:r>
        <w:t xml:space="preserve">Conforme al criterio del Anexo I del RD 311/2022 (la categoría global es la máxima de las dimensiones), se aprueba:</w:t>
      </w:r>
    </w:p>
    <w:p>
      <w:pPr>
        <w:pStyle w:val="BlockText"/>
      </w:pPr>
      <w:r>
        <w:rPr>
          <w:bCs/>
          <w:b/>
        </w:rPr>
        <w:t xml:space="preserve">CATEGORÍA GLOBAL DEL SISTEMA: {{ nivel | upper }}</w:t>
      </w:r>
    </w:p>
    <w:bookmarkEnd w:id="23"/>
    <w:bookmarkStart w:id="24" w:name="X28134f191294b8e74888f5329ad6af5e5380a51"/>
    <w:p>
      <w:pPr>
        <w:pStyle w:val="Heading2"/>
      </w:pPr>
      <w:r>
        <w:t xml:space="preserve">5. JUSTIFICACIÓN DE LA VALORACIÓN</w:t>
      </w:r>
    </w:p>
    <w:p>
      <w:pPr>
        <w:pStyle w:val="FirstParagraph"/>
      </w:pPr>
      <w:r>
        <w:t xml:space="preserve">La valoración de cada dimensión se ha realizado conforme a los criterios del Anexo I del RD 311/2022 y a la guía complementaria CCN-STIC 803, atendiendo a:</w:t>
      </w:r>
    </w:p>
    <w:p>
      <w:pPr>
        <w:pStyle w:val="BodyText"/>
      </w:pPr>
      <w:r>
        <w:t xml:space="preserve">a) Naturaleza de la información tratada y de los servicios prestados.</w:t>
      </w:r>
    </w:p>
    <w:p>
      <w:pPr>
        <w:pStyle w:val="BodyText"/>
      </w:pPr>
      <w:r>
        <w:t xml:space="preserve">b) Impacto previsto en caso de fallo en cada dimensión, considerando dimensiones operativa, económica, reputacional y legal.</w:t>
      </w:r>
    </w:p>
    <w:p>
      <w:pPr>
        <w:pStyle w:val="BodyText"/>
      </w:pPr>
      <w:r>
        <w:t xml:space="preserve">c) Marco regulatorio sectorial aplicable a</w:t>
      </w:r>
      <w:r>
        <w:t xml:space="preserve"> </w:t>
      </w:r>
      <w:r>
        <w:rPr>
          <w:bCs/>
          <w:b/>
        </w:rPr>
        <w:t xml:space="preserve">{{ cliente.razon_social }}</w:t>
      </w:r>
      <w:r>
        <w:t xml:space="preserve">.</w:t>
      </w:r>
    </w:p>
    <w:p>
      <w:pPr>
        <w:pStyle w:val="BodyText"/>
      </w:pPr>
      <w:r>
        <w:t xml:space="preserve">d) Compromisos contractuales con terceros, particularmente con el sector público en procedimientos de licitación.</w:t>
      </w:r>
    </w:p>
    <w:bookmarkEnd w:id="24"/>
    <w:bookmarkStart w:id="25" w:name="X8e40e1cab7584062ea8acdc1092dd22e6beba1b"/>
    <w:p>
      <w:pPr>
        <w:pStyle w:val="Heading2"/>
      </w:pPr>
      <w:r>
        <w:t xml:space="preserve">6. DECLARACIÓN DE APLICABILIDAD (DA)</w:t>
      </w:r>
    </w:p>
    <w:p>
      <w:pPr>
        <w:pStyle w:val="FirstParagraph"/>
      </w:pPr>
      <w:r>
        <w:t xml:space="preserve">En aplicación del nivel global aprobado,</w:t>
      </w:r>
      <w:r>
        <w:t xml:space="preserve"> </w:t>
      </w:r>
      <w:r>
        <w:rPr>
          <w:bCs/>
          <w:b/>
        </w:rPr>
        <w:t xml:space="preserve">{{ nivel }}</w:t>
      </w:r>
      <w:r>
        <w:t xml:space="preserve">, se determina la aplicabilidad de las medidas del Anexo II del RD 311/2022 (73 medidas: 4 organizativas + 33 operacionales + 36 de protección).</w:t>
      </w:r>
    </w:p>
    <w:p>
      <w:pPr>
        <w:pStyle w:val="BodyText"/>
      </w:pPr>
      <w:r>
        <w:t xml:space="preserve">La Declaración de Aplicabilidad detallada se documenta en el documento</w:t>
      </w:r>
      <w:r>
        <w:t xml:space="preserve"> </w:t>
      </w:r>
      <w:r>
        <w:rPr>
          <w:bCs/>
          <w:b/>
        </w:rPr>
        <w:t xml:space="preserve">E-040</w:t>
      </w:r>
      <w:r>
        <w:t xml:space="preserve">, que constituye anexo del presente acta y que recoge para cada medida:</w:t>
      </w:r>
    </w:p>
    <w:p>
      <w:pPr>
        <w:numPr>
          <w:ilvl w:val="0"/>
          <w:numId w:val="1001"/>
        </w:numPr>
        <w:pStyle w:val="Compact"/>
      </w:pPr>
      <w:r>
        <w:t xml:space="preserve">Aplicabilidad (sí / no / no aplica con justificación).</w:t>
      </w:r>
    </w:p>
    <w:p>
      <w:pPr>
        <w:numPr>
          <w:ilvl w:val="0"/>
          <w:numId w:val="1001"/>
        </w:numPr>
        <w:pStyle w:val="Compact"/>
      </w:pPr>
      <w:r>
        <w:t xml:space="preserve">Estado de implantación (planificada / parcial / completa).</w:t>
      </w:r>
    </w:p>
    <w:p>
      <w:pPr>
        <w:numPr>
          <w:ilvl w:val="0"/>
          <w:numId w:val="1001"/>
        </w:numPr>
        <w:pStyle w:val="Compact"/>
      </w:pPr>
      <w:r>
        <w:t xml:space="preserve">Responsable funcional.</w:t>
      </w:r>
    </w:p>
    <w:p>
      <w:pPr>
        <w:numPr>
          <w:ilvl w:val="0"/>
          <w:numId w:val="1001"/>
        </w:numPr>
        <w:pStyle w:val="Compact"/>
      </w:pPr>
      <w:r>
        <w:t xml:space="preserve">Plazo de implantación cuando proceda.</w:t>
      </w:r>
    </w:p>
    <w:bookmarkEnd w:id="25"/>
    <w:bookmarkStart w:id="26" w:name="X60721a8bb76fe1dbc5a55d5437259b602665082"/>
    <w:p>
      <w:pPr>
        <w:pStyle w:val="Heading2"/>
      </w:pPr>
      <w:r>
        <w:t xml:space="preserve">7. DECISIONES COMPLEMENTARIAS</w:t>
      </w:r>
    </w:p>
    <w:p>
      <w:pPr>
        <w:pStyle w:val="FirstParagraph"/>
      </w:pPr>
      <w:r>
        <w:t xml:space="preserve">a) Se aprueba la versión inicial de la Declaración de Aplicabilidad (DA, E-040).</w:t>
      </w:r>
    </w:p>
    <w:p>
      <w:pPr>
        <w:pStyle w:val="BodyText"/>
      </w:pPr>
      <w:r>
        <w:t xml:space="preserve">b) Se encomienda al Responsable de Seguridad la elaboración del Plan de Adecuación (E-150) en plazo de noventa (90) días naturales.</w:t>
      </w:r>
    </w:p>
    <w:p>
      <w:pPr>
        <w:pStyle w:val="BodyText"/>
      </w:pPr>
      <w:r>
        <w:t xml:space="preserve">c) Se establece el ciclo de revisión periódica de la categorización:</w:t>
      </w:r>
      <w:r>
        <w:t xml:space="preserve"> </w:t>
      </w:r>
      <w:r>
        <w:rPr>
          <w:bCs/>
          <w:b/>
        </w:rPr>
        <w:t xml:space="preserve">anual ordinaria</w:t>
      </w:r>
      <w:r>
        <w:t xml:space="preserve"> </w:t>
      </w:r>
      <w:r>
        <w:t xml:space="preserve">+ extraordinaria ante cambios materiales en el sistema (E-042).</w:t>
      </w:r>
    </w:p>
    <w:bookmarkEnd w:id="26"/>
    <w:bookmarkStart w:id="27" w:name="Xe24cfca8e5e2214a14c05ed32c53a178b30291b"/>
    <w:p>
      <w:pPr>
        <w:pStyle w:val="Heading2"/>
      </w:pPr>
      <w:r>
        <w:t xml:space="preserve">8. VIGENCIA Y REVISIÓN</w:t>
      </w:r>
    </w:p>
    <w:p>
      <w:pPr>
        <w:pStyle w:val="FirstParagraph"/>
      </w:pPr>
      <w:r>
        <w:t xml:space="preserve">La presente categorización tiene vigencia hasta:</w:t>
      </w:r>
    </w:p>
    <w:p>
      <w:pPr>
        <w:pStyle w:val="BodyText"/>
      </w:pPr>
      <w:r>
        <w:t xml:space="preserve">a) Revisión ordinaria anual prevista en sección 7.c.</w:t>
      </w:r>
    </w:p>
    <w:p>
      <w:pPr>
        <w:pStyle w:val="BodyText"/>
      </w:pPr>
      <w:r>
        <w:t xml:space="preserve">b) Decisión expresa de recategorización tras cambio material (E-042).</w:t>
      </w:r>
    </w:p>
    <w:p>
      <w:pPr>
        <w:pStyle w:val="BodyText"/>
      </w:pPr>
      <w:r>
        <w:t xml:space="preserve">c) Cambio normativo que altere los criterios del Anexo I del RD 311/2022.</w:t>
      </w:r>
    </w:p>
    <w:bookmarkEnd w:id="27"/>
    <w:bookmarkStart w:id="28" w:name="X57d89ffdbe98d9a28faf77e9ebbbba348d4f053"/>
    <w:p>
      <w:pPr>
        <w:pStyle w:val="Heading2"/>
      </w:pPr>
      <w:r>
        <w:t xml:space="preserve">9. ANEXOS AL ACTA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I:</w:t>
      </w:r>
      <w:r>
        <w:t xml:space="preserve"> </w:t>
      </w:r>
      <w:r>
        <w:t xml:space="preserve">Declaración de Aplicabilidad (documento E-040).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II:</w:t>
      </w:r>
      <w:r>
        <w:t xml:space="preserve"> </w:t>
      </w:r>
      <w:r>
        <w:t xml:space="preserve">Análisis dimensional detallado por activos representativos.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III:</w:t>
      </w:r>
      <w:r>
        <w:t xml:space="preserve"> </w:t>
      </w:r>
      <w:r>
        <w:t xml:space="preserve">Acta de la sesión del Comité de Seguridad en la que se adoptó la decisión.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Firmado en {{ cliente.poblacion if cliente.poblacion else '[POBLACIÓN]' }}, a {{ fecha }}.</w:t>
      </w:r>
    </w:p>
    <w:p>
      <w:pPr>
        <w:pStyle w:val="BodyText"/>
      </w:pPr>
      <w:r>
        <w:t xml:space="preserve">Conforme al</w:t>
      </w:r>
      <w:r>
        <w:t xml:space="preserve"> </w:t>
      </w:r>
      <w:r>
        <w:rPr>
          <w:bCs/>
          <w:b/>
        </w:rPr>
        <w:t xml:space="preserve">artículo 40.2 del RD 311/2022</w:t>
      </w:r>
      <w:r>
        <w:t xml:space="preserve">, la categorización del sistema se aprueba mediante la</w:t>
      </w:r>
      <w:r>
        <w:t xml:space="preserve"> </w:t>
      </w:r>
      <w:r>
        <w:rPr>
          <w:bCs/>
          <w:b/>
        </w:rPr>
        <w:t xml:space="preserve">doble firma competente</w:t>
      </w:r>
      <w:r>
        <w:t xml:space="preserve">: el</w:t>
      </w:r>
      <w:r>
        <w:t xml:space="preserve"> </w:t>
      </w:r>
      <w:r>
        <w:rPr>
          <w:bCs/>
          <w:b/>
        </w:rPr>
        <w:t xml:space="preserve">Responsable de la Información</w:t>
      </w:r>
      <w:r>
        <w:t xml:space="preserve"> </w:t>
      </w:r>
      <w:r>
        <w:t xml:space="preserve">determina y aprueba los niveles de las dimensiones que afectan a la información, y el</w:t>
      </w:r>
      <w:r>
        <w:t xml:space="preserve"> </w:t>
      </w:r>
      <w:r>
        <w:rPr>
          <w:bCs/>
          <w:b/>
        </w:rPr>
        <w:t xml:space="preserve">Responsable del Servicio</w:t>
      </w:r>
      <w:r>
        <w:t xml:space="preserve"> </w:t>
      </w:r>
      <w:r>
        <w:t xml:space="preserve">los de las dimensiones que afectan a los servicios. El</w:t>
      </w:r>
      <w:r>
        <w:t xml:space="preserve"> </w:t>
      </w:r>
      <w:r>
        <w:rPr>
          <w:bCs/>
          <w:b/>
        </w:rPr>
        <w:t xml:space="preserve">Responsable de la Seguridad</w:t>
      </w:r>
      <w:r>
        <w:t xml:space="preserve"> </w:t>
      </w:r>
      <w:r>
        <w:t xml:space="preserve">suscribe su conformidad sin carácter aprobatorio. El acta solo se considera</w:t>
      </w:r>
      <w:r>
        <w:t xml:space="preserve"> </w:t>
      </w:r>
      <w:r>
        <w:rPr>
          <w:bCs/>
          <w:b/>
        </w:rPr>
        <w:t xml:space="preserve">aprobada cuando constan las firmas del Responsable de la Información y del Responsable del Servicio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 ENS (art.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Carácter de la 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la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responsables.responsable_informacion.nombre if responsables.responsable_informacion else '[A DESIGNAR]' 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Aprueba</w:t>
            </w:r>
            <w:r>
              <w:t xml:space="preserve"> </w:t>
            </w:r>
            <w:r>
              <w:t xml:space="preserve">(dimensiones de la información)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del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responsables.responsable_servicio.nombre if responsables.responsable_servicio else '[A DESIGNAR]' 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Aprueba</w:t>
            </w:r>
            <w:r>
              <w:t xml:space="preserve"> </w:t>
            </w:r>
            <w:r>
              <w:t xml:space="preserve">(dimensiones de los servicios)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la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responsables.responsable_seguridad.nombre if responsables.responsable_seguridad else '[A DESIGNAR]'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(no aprobador)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E-012 — Versión {{ proyecto.version_actual if proyecto.version_actual else '1.0' }} — Clasificación: INTERNA</w:t>
      </w:r>
    </w:p>
    <w:bookmarkEnd w:id="28"/>
    <w:bookmarkEnd w:id="29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E-012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E-012 · ACTA DE APROBACIÓN DE LA CATEGORIZACIÓN Y DECLARACIÓN DE APLICABILIDAD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2026-06-12T00:04:27Z</dcterms:created>
  <dcterms:modified xsi:type="dcterms:W3CDTF">2026-06-12T00:04:27Z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E-012</vt:lpwstr>
  </property>
  <property fmtid="{D5CDD505-2E9C-101B-9397-08002B2CF9AE}" pid="4" name="norma_aplicable">
    <vt:lpwstr>RD 311/2022 Anexo I (categorización) + Anexo II (DA) + CCN-STIC 803</vt:lpwstr>
  </property>
  <property fmtid="{D5CDD505-2E9C-101B-9397-08002B2CF9AE}" pid="5" name="titulo">
    <vt:lpwstr>Acta de Aprobación de la Categorización del Sistema y de la Declaración de Aplicabilidad</vt:lpwstr>
  </property>
  <property fmtid="{D5CDD505-2E9C-101B-9397-08002B2CF9AE}" pid="6" name="version">
    <vt:lpwstr>{{ proyecto.version_actual if proyecto.version_actual else '1.0' }}</vt:lpwstr>
  </property>
</Properties>
</file>