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02ae2973bd1e853adf21b5625d9d490dd582b1f"/>
    <w:p>
      <w:pPr>
        <w:pStyle w:val="Heading1"/>
      </w:pPr>
      <w:r>
        <w:t xml:space="preserve">POLÍTICA DE GESTIÓN DE CAMBIOS DE {{ cliente.razon_social | upper }}</w:t>
      </w:r>
    </w:p>
    <w:p>
      <w:pPr>
        <w:pStyle w:val="FirstParagraph"/>
      </w:pPr>
      <w:r>
        <w:rPr>
          <w:bCs/>
          <w:b/>
        </w:rPr>
        <w:t xml:space="preserve">Documento {{ proyecto.codigo_documento_base }}-116 — Versión {{ proyecto.version_actual }}</w:t>
      </w:r>
    </w:p>
    <w:p>
      <w:r>
        <w:pict>
          <v:rect style="width:0;height:1.5pt" o:hralign="center" o:hrstd="t" o:hr="t"/>
        </w:pict>
      </w:r>
    </w:p>
    <w:bookmarkStart w:id="20" w:name="objeto"/>
    <w:p>
      <w:pPr>
        <w:pStyle w:val="Heading2"/>
      </w:pPr>
      <w:r>
        <w:t xml:space="preserve">1. OBJETO</w:t>
      </w:r>
    </w:p>
    <w:p>
      <w:pPr>
        <w:pStyle w:val="FirstParagraph"/>
      </w:pPr>
      <w:r>
        <w:t xml:space="preserve">Garantizar que ningún cambio se introduzca en los sistemas productivos comprendidos en el alcance del SGSI sin haber sido previamente planificado, evaluado en términos de seguridad y estabilidad, autorizado por el órgano competente y verificado tras su implantación, en cumplimiento de la medida</w:t>
      </w:r>
      <w:r>
        <w:t xml:space="preserve"> </w:t>
      </w:r>
      <w:r>
        <w:rPr>
          <w:bCs/>
          <w:b/>
        </w:rPr>
        <w:t xml:space="preserve">op.exp.5 (Gestión de cambios)</w:t>
      </w:r>
      <w:r>
        <w:t xml:space="preserve"> </w:t>
      </w:r>
      <w:r>
        <w:t xml:space="preserve">del Anexo II del Real Decreto 311/2022.</w:t>
      </w:r>
    </w:p>
    <w:bookmarkEnd w:id="20"/>
    <w:bookmarkStart w:id="21" w:name="principios"/>
    <w:p>
      <w:pPr>
        <w:pStyle w:val="Heading2"/>
      </w:pPr>
      <w:r>
        <w:t xml:space="preserve">2. PRINCIPIOS</w:t>
      </w:r>
    </w:p>
    <w:p>
      <w:pPr>
        <w:pStyle w:val="FirstParagraph"/>
      </w:pPr>
      <w:r>
        <w:rPr>
          <w:bCs/>
          <w:b/>
        </w:rPr>
        <w:t xml:space="preserve">2.1 Todo cambio es formal.</w:t>
      </w:r>
      <w:r>
        <w:t xml:space="preserve"> </w:t>
      </w:r>
      <w:r>
        <w:t xml:space="preserve">Todo cambio en hardware, software, configuración, red o procedimientos operativos del sistema debe seguir un flujo formal documentado.</w:t>
      </w:r>
    </w:p>
    <w:p>
      <w:pPr>
        <w:pStyle w:val="BodyText"/>
      </w:pPr>
      <w:r>
        <w:rPr>
          <w:bCs/>
          <w:b/>
        </w:rPr>
        <w:t xml:space="preserve">2.2 Análisis de impacto previo.</w:t>
      </w:r>
      <w:r>
        <w:t xml:space="preserve"> </w:t>
      </w:r>
      <w:r>
        <w:t xml:space="preserve">Antes de su ejecución, cada cambio será evaluado en términos de impacto en la seguridad, la disponibilidad y la integridad del sistema.</w:t>
      </w:r>
    </w:p>
    <w:p>
      <w:pPr>
        <w:pStyle w:val="BodyText"/>
      </w:pPr>
      <w:r>
        <w:rPr>
          <w:bCs/>
          <w:b/>
        </w:rPr>
        <w:t xml:space="preserve">2.3 Reversibilidad.</w:t>
      </w:r>
      <w:r>
        <w:t xml:space="preserve"> </w:t>
      </w:r>
      <w:r>
        <w:t xml:space="preserve">Todo cambio debe tener un plan de marcha atrás (rollback) documentado y probado antes de su ejecución.</w:t>
      </w:r>
    </w:p>
    <w:p>
      <w:pPr>
        <w:pStyle w:val="BodyText"/>
      </w:pPr>
      <w:r>
        <w:rPr>
          <w:bCs/>
          <w:b/>
        </w:rPr>
        <w:t xml:space="preserve">2.4 Trazabilidad.</w:t>
      </w:r>
      <w:r>
        <w:t xml:space="preserve"> </w:t>
      </w:r>
      <w:r>
        <w:t xml:space="preserve">Todo cambio quedará registrado con identificador único, persona solicitante, autorizador, ejecutor, fecha y resultado.</w:t>
      </w:r>
    </w:p>
    <w:p>
      <w:pPr>
        <w:pStyle w:val="BodyText"/>
      </w:pPr>
      <w:r>
        <w:rPr>
          <w:bCs/>
          <w:b/>
        </w:rPr>
        <w:t xml:space="preserve">2.5 Comité de Cambios (CAB).</w:t>
      </w:r>
      <w:r>
        <w:t xml:space="preserve"> </w:t>
      </w:r>
      <w:r>
        <w:t xml:space="preserve">Los cambios de impacto ALTO o CRÍTICO serán evaluados y autorizados por el Comité de Cambios, conforme al procedimiento {{ proyecto.codigo_documento_base }}-203.</w:t>
      </w:r>
    </w:p>
    <w:bookmarkEnd w:id="21"/>
    <w:bookmarkStart w:id="22" w:name="clasificación"/>
    <w:p>
      <w:pPr>
        <w:pStyle w:val="Heading2"/>
      </w:pPr>
      <w:r>
        <w:t xml:space="preserve">3. CLASIFICACIÓN</w:t>
      </w:r>
    </w:p>
    <w:p>
      <w:pPr>
        <w:pStyle w:val="FirstParagraph"/>
      </w:pPr>
      <w:r>
        <w:t xml:space="preserve">Los cambios se clasifican en: ESTÁNDAR (preautorizados, catálogo), NORMAL (requieren evaluación individual), EMERGENCIA (flujo abreviado con ratificación posterior).</w:t>
      </w:r>
    </w:p>
    <w:bookmarkEnd w:id="22"/>
    <w:bookmarkStart w:id="23" w:name="procedimiento-operativo"/>
    <w:p>
      <w:pPr>
        <w:pStyle w:val="Heading2"/>
      </w:pPr>
      <w:r>
        <w:t xml:space="preserve">4. PROCEDIMIENTO OPERATIVO</w:t>
      </w:r>
    </w:p>
    <w:p>
      <w:pPr>
        <w:pStyle w:val="FirstParagraph"/>
      </w:pPr>
      <w:r>
        <w:t xml:space="preserve">El detalle se desarrolla en el procedimiento {{ proyecto.codigo_documento_base }}-203 (Gestión de Cambios Técnicos).</w:t>
      </w:r>
    </w:p>
    <w:bookmarkEnd w:id="23"/>
    <w:bookmarkStart w:id="24" w:name="aprobación-y-vigencia"/>
    <w:p>
      <w:pPr>
        <w:pStyle w:val="Heading2"/>
      </w:pPr>
      <w:r>
        <w:t xml:space="preserve">5. APROBACIÓN Y VIGENCIA</w:t>
      </w:r>
    </w:p>
    <w:p>
      <w:pPr>
        <w:pStyle w:val="FirstParagraph"/>
      </w:pPr>
      <w:r>
        <w:t xml:space="preserve">Aprobada por {{ cliente.organo_aprobador_politicas }} el {{ proyecto.fecha_aprobacion_inicial }}. Revisión anual.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{{ proyecto.codigo_documento_base }}-116 — Versión {{ proyecto.version_actual }} — Clasificación: INTERNA</w:t>
      </w:r>
    </w:p>
    <w:bookmarkEnd w:id="24"/>
    <w:bookmarkEnd w:id="25"/>
    <w:sectPr>
      <w:headerReference w:type="default" r:id="rId9"/>
      <w:footerReference w:type="default" r:id="rId1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Layout w:type="fixed"/>
      <w:tblLook w:firstColumn="1" w:firstRow="1" w:lastColumn="0" w:lastRow="0" w:noHBand="0" w:noVBand="1" w:val="04A0"/>
    </w:tblPr>
    <w:tblGrid>
      <w:gridCol w:w="3024"/>
      <w:gridCol w:w="3024"/>
      <w:gridCol w:w="3024"/>
    </w:tblGrid>
    <w:tr>
      <w:tc>
        <w:tcPr>
          <w:tcW w:type="dxa" w:w="3810"/>
        </w:tcPr>
        <w:p>
          <w:pPr>
            <w:jc w:val="left"/>
          </w:pPr>
          <w:r>
            <w:rPr>
              <w:b w:val="0"/>
              <w:color w:val="6B7280"/>
              <w:sz w:val="16"/>
            </w:rPr>
            <w:t>CONFIDENCIAL — {{ cliente.razon_social }}</w:t>
          </w:r>
        </w:p>
      </w:tc>
      <w:tc>
        <w:tcPr>
          <w:tcW w:type="dxa" w:w="2540"/>
        </w:tcPr>
        <w:p>
          <w:pPr>
            <w:jc w:val="center"/>
          </w:pPr>
          <w:r>
            <w:rPr>
              <w:b w:val="0"/>
              <w:color w:val="6B7280"/>
              <w:sz w:val="16"/>
            </w:rPr>
            <w:t>E-116 · v{{ proyecto.version_actual }}</w:t>
          </w:r>
        </w:p>
      </w:tc>
      <w:tc>
        <w:tcPr>
          <w:tcW w:type="dxa" w:w="2721"/>
        </w:tcPr>
        <w:p>
          <w:pPr>
            <w:jc w:val="right"/>
          </w:pPr>
          <w:r>
            <w:rPr>
              <w:b w:val="0"/>
              <w:color w:val="6B7280"/>
              <w:sz w:val="16"/>
            </w:rPr>
            <w:t xml:space="preserve">Página </w:t>
          </w:r>
          <w:r>
            <w:rPr>
              <w:b w:val="0"/>
              <w:color w:val="6B7280"/>
              <w:sz w:val="16"/>
            </w:rPr>
            <w:fldChar w:fldCharType="begin"/>
            <w:instrText xml:space="preserve">PAGE</w:instrText>
            <w:fldChar w:fldCharType="end"/>
          </w:r>
          <w:r>
            <w:rPr>
              <w:b w:val="0"/>
              <w:color w:val="6B7280"/>
              <w:sz w:val="16"/>
            </w:rPr>
            <w:t xml:space="preserve"> / </w:t>
          </w:r>
          <w:r>
            <w:rPr>
              <w:b w:val="0"/>
              <w:color w:val="6B7280"/>
              <w:sz w:val="16"/>
            </w:rPr>
            <w:fldChar w:fldCharType="begin"/>
            <w:instrText xml:space="preserve">NUMPAGES</w:instrText>
            <w:fldChar w:fldCharType="end"/>
          </w:r>
        </w:p>
      </w:tc>
    </w:tr>
  </w:tbl>
  <w:p>
    <w:r>
      <w:rPr>
        <w:sz w:val="2"/>
      </w:rPr>
      <w:t>&lt;!--FX_FTR_V2--&gt;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jc w:val="center"/>
      <w:tblLayout w:type="fixed"/>
      <w:tblLook w:firstColumn="1" w:firstRow="1" w:lastColumn="0" w:lastRow="0" w:noHBand="0" w:noVBand="1" w:val="04A0"/>
    </w:tblPr>
    <w:tblGrid>
      <w:gridCol w:w="3024"/>
      <w:gridCol w:w="3024"/>
      <w:gridCol w:w="3024"/>
    </w:tblGrid>
    <w:tr>
      <w:tc>
        <w:tcPr>
          <w:tcW w:type="dxa" w:w="3447"/>
        </w:tcPr>
        <w:p>
          <w:pPr>
            <w:jc w:val="left"/>
          </w:pPr>
          <w:r>
            <w:rPr>
              <w:b/>
              <w:color w:val="0B1F3A"/>
              <w:sz w:val="22"/>
            </w:rPr>
            <w:t>{{ cliente.header_brand }}</w:t>
          </w:r>
        </w:p>
      </w:tc>
      <w:tc>
        <w:tcPr>
          <w:tcW w:type="dxa" w:w="3084"/>
        </w:tcPr>
        <w:p>
          <w:pPr>
            <w:jc w:val="center"/>
          </w:pPr>
          <w:r>
            <w:rPr>
              <w:b w:val="0"/>
              <w:color w:val="6B7280"/>
              <w:sz w:val="18"/>
            </w:rPr>
            <w:t>E-116 · POLÍTICA DE GESTIÓN DE CAMBIOS</w:t>
            <w:br/>
            <w:t>versión {{ proyecto.version_actual }}</w:t>
          </w:r>
        </w:p>
      </w:tc>
      <w:tc>
        <w:tcPr>
          <w:tcW w:type="dxa" w:w="2540"/>
        </w:tcPr>
        <w:p>
          <w:pPr>
            <w:jc w:val="right"/>
          </w:pPr>
          <w:r>
            <w:rPr>
              <w:b w:val="0"/>
              <w:color w:val="0B1F3A"/>
              <w:sz w:val="18"/>
            </w:rPr>
            <w:t>{{ consultor.header_brand }}</w:t>
          </w:r>
        </w:p>
      </w:tc>
    </w:tr>
  </w:tbl>
  <w:p>
    <w:r>
      <w:rPr>
        <w:sz w:val="2"/>
      </w:rPr>
      <w:t>&lt;!--FX_HDR_V2--&gt;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2026-04-14T18:00:38Z</dcterms:created>
  <dcterms:modified xsi:type="dcterms:W3CDTF">2026-04-14T18:00:38Z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robado_por">
    <vt:lpwstr>{{ cliente.organo_aprobador_politicas }}</vt:lpwstr>
  </property>
  <property fmtid="{D5CDD505-2E9C-101B-9397-08002B2CF9AE}" pid="3" name="clasificacion">
    <vt:lpwstr>INTERNA</vt:lpwstr>
  </property>
  <property fmtid="{D5CDD505-2E9C-101B-9397-08002B2CF9AE}" pid="4" name="codigo_documento">
    <vt:lpwstr>{{ proyecto.codigo_documento_base }}-116</vt:lpwstr>
  </property>
  <property fmtid="{D5CDD505-2E9C-101B-9397-08002B2CF9AE}" pid="5" name="fecha_aprobacion">
    <vt:lpwstr>{{ proyecto.fecha_aprobacion_inicial }}</vt:lpwstr>
  </property>
  <property fmtid="{D5CDD505-2E9C-101B-9397-08002B2CF9AE}" pid="6" name="titulo">
    <vt:lpwstr>Política de Gestión de Cambios</vt:lpwstr>
  </property>
  <property fmtid="{D5CDD505-2E9C-101B-9397-08002B2CF9AE}" pid="7" name="version">
    <vt:lpwstr>{{ proyecto.version_actual }}</vt:lpwstr>
  </property>
</Properties>
</file>