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Xbd5b58d6e024d5f8be91844d2297b46bf8ed2f8"/>
    <w:p>
      <w:pPr>
        <w:pStyle w:val="Heading1"/>
      </w:pPr>
      <w:r>
        <w:t xml:space="preserve">POLÍTICA DE USO DE DISPOSITIVOS PERSONALES (BYOD) DE {{ cliente.razon_social | upper }}</w:t>
      </w:r>
    </w:p>
    <w:p>
      <w:pPr>
        <w:pStyle w:val="FirstParagraph"/>
      </w:pPr>
      <w:r>
        <w:rPr>
          <w:bCs/>
          <w:b/>
        </w:rPr>
        <w:t xml:space="preserve">Documento {{ proyecto.codigo_documento_base }}-118 — Versión {{ proyecto.version_actual }}</w:t>
      </w:r>
    </w:p>
    <w:p>
      <w:r>
        <w:pict>
          <v:rect style="width:0;height:1.5pt" o:hralign="center" o:hrstd="t" o:hr="t"/>
        </w:pict>
      </w:r>
    </w:p>
    <w:bookmarkStart w:id="20" w:name="objeto"/>
    <w:p>
      <w:pPr>
        <w:pStyle w:val="Heading2"/>
      </w:pPr>
      <w:r>
        <w:t xml:space="preserve">1. OBJETO</w:t>
      </w:r>
    </w:p>
    <w:p>
      <w:pPr>
        <w:pStyle w:val="FirstParagraph"/>
      </w:pPr>
      <w:r>
        <w:t xml:space="preserve">Establecer las condiciones bajo las cuales el personal de {{ cliente.razon_social }} podrá utilizar dispositivos personales (ordenadores portátiles, teléfonos móviles, tabletas) para acceder a información y sistemas corporativos.</w:t>
      </w:r>
    </w:p>
    <w:bookmarkEnd w:id="20"/>
    <w:bookmarkStart w:id="21" w:name="posición-de-la-entidad"/>
    <w:p>
      <w:pPr>
        <w:pStyle w:val="Heading2"/>
      </w:pPr>
      <w:r>
        <w:t xml:space="preserve">2. POSICIÓN DE LA ENTIDAD</w:t>
      </w:r>
    </w:p>
    <w:p>
      <w:pPr>
        <w:pStyle w:val="FirstParagraph"/>
      </w:pPr>
      <w:r>
        <w:t xml:space="preserve">{% if cliente.permite_byod %}</w:t>
      </w:r>
      <w:r>
        <w:t xml:space="preserve"> </w:t>
      </w:r>
      <w:r>
        <w:t xml:space="preserve">{{ cliente.razon_social }}</w:t>
      </w:r>
      <w:r>
        <w:t xml:space="preserve"> </w:t>
      </w:r>
      <w:r>
        <w:rPr>
          <w:bCs/>
          <w:b/>
        </w:rPr>
        <w:t xml:space="preserve">autoriza</w:t>
      </w:r>
      <w:r>
        <w:t xml:space="preserve"> </w:t>
      </w:r>
      <w:r>
        <w:t xml:space="preserve">el uso de dispositivos personales para actividades laborales, sujeto al cumplimiento estricto de los requisitos establecidos en la presente Política.</w:t>
      </w:r>
      <w:r>
        <w:t xml:space="preserve"> </w:t>
      </w:r>
      <w:r>
        <w:t xml:space="preserve">{% else %}</w:t>
      </w:r>
      <w:r>
        <w:t xml:space="preserve"> </w:t>
      </w:r>
      <w:r>
        <w:t xml:space="preserve">{{ cliente.razon_social }}</w:t>
      </w:r>
      <w:r>
        <w:t xml:space="preserve"> </w:t>
      </w:r>
      <w:r>
        <w:rPr>
          <w:bCs/>
          <w:b/>
        </w:rPr>
        <w:t xml:space="preserve">no autoriza</w:t>
      </w:r>
      <w:r>
        <w:t xml:space="preserve"> </w:t>
      </w:r>
      <w:r>
        <w:t xml:space="preserve">con carácter general el uso de dispositivos personales para acceder a los sistemas o información comprendidos en el alcance del SGSI. Las excepciones deberán ser autorizadas individualmente por el Responsable de la Seguridad.</w:t>
      </w:r>
      <w:r>
        <w:t xml:space="preserve"> </w:t>
      </w:r>
      <w:r>
        <w:t xml:space="preserve">{% endif %}</w:t>
      </w:r>
    </w:p>
    <w:bookmarkEnd w:id="21"/>
    <w:bookmarkStart w:id="22" w:name="X4f3b98cec1c5bf519f5018492ec76f504d7ceea"/>
    <w:p>
      <w:pPr>
        <w:pStyle w:val="Heading2"/>
      </w:pPr>
      <w:r>
        <w:t xml:space="preserve">3. REQUISITOS MÍNIMOS DEL DISPOSITIVO PERSONAL</w:t>
      </w:r>
    </w:p>
    <w:p>
      <w:pPr>
        <w:pStyle w:val="FirstParagraph"/>
      </w:pPr>
      <w:r>
        <w:t xml:space="preserve">Para ser autorizado, el dispositivo personal deberá cumplir:</w:t>
      </w:r>
    </w:p>
    <w:p>
      <w:pPr>
        <w:numPr>
          <w:ilvl w:val="0"/>
          <w:numId w:val="1001"/>
        </w:numPr>
      </w:pPr>
      <w:r>
        <w:t xml:space="preserve">Sistema operativo con soporte vigente del fabricante y actualizaciones al día.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Cifrado de disco completo</w:t>
      </w:r>
      <w:r>
        <w:t xml:space="preserve"> </w:t>
      </w:r>
      <w:r>
        <w:t xml:space="preserve">activado.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Código de desbloqueo</w:t>
      </w:r>
      <w:r>
        <w:t xml:space="preserve"> </w:t>
      </w:r>
      <w:r>
        <w:t xml:space="preserve">o autenticación biométrica activados, con bloqueo automático a 5 minutos de inactividad.</w:t>
      </w:r>
    </w:p>
    <w:p>
      <w:pPr>
        <w:numPr>
          <w:ilvl w:val="0"/>
          <w:numId w:val="1001"/>
        </w:numPr>
      </w:pPr>
      <w:r>
        <w:t xml:space="preserve">Software antimalware instalado y actualizado (o protección nativa del sistema operativo equivalente).</w:t>
      </w:r>
    </w:p>
    <w:p>
      <w:pPr>
        <w:numPr>
          <w:ilvl w:val="0"/>
          <w:numId w:val="1001"/>
        </w:numPr>
      </w:pPr>
      <w:r>
        <w:t xml:space="preserve">No tener root/jailbreak aplicado.</w:t>
      </w:r>
    </w:p>
    <w:p>
      <w:pPr>
        <w:numPr>
          <w:ilvl w:val="0"/>
          <w:numId w:val="1001"/>
        </w:numPr>
      </w:pPr>
      <w:r>
        <w:t xml:space="preserve">Posibilidad de borrado remoto (MDM corporativo o funcionalidad nativa del sistema operativo).</w:t>
      </w:r>
    </w:p>
    <w:bookmarkEnd w:id="22"/>
    <w:bookmarkStart w:id="23" w:name="condiciones-de-uso"/>
    <w:p>
      <w:pPr>
        <w:pStyle w:val="Heading2"/>
      </w:pPr>
      <w:r>
        <w:t xml:space="preserve">4. CONDICIONES DE USO</w:t>
      </w:r>
    </w:p>
    <w:p>
      <w:pPr>
        <w:numPr>
          <w:ilvl w:val="0"/>
          <w:numId w:val="1002"/>
        </w:numPr>
      </w:pPr>
      <w:r>
        <w:t xml:space="preserve">El acceso a sistemas corporativos desde dispositivos personales se realizará</w:t>
      </w:r>
      <w:r>
        <w:t xml:space="preserve"> </w:t>
      </w:r>
      <w:r>
        <w:rPr>
          <w:bCs/>
          <w:b/>
        </w:rPr>
        <w:t xml:space="preserve">exclusivamente</w:t>
      </w:r>
      <w:r>
        <w:t xml:space="preserve"> </w:t>
      </w:r>
      <w:r>
        <w:t xml:space="preserve">a través de la VPN corporativa o de soluciones de escritorio virtual (VDI) autorizadas.</w:t>
      </w:r>
    </w:p>
    <w:p>
      <w:pPr>
        <w:numPr>
          <w:ilvl w:val="0"/>
          <w:numId w:val="1002"/>
        </w:numPr>
      </w:pPr>
      <w:r>
        <w:t xml:space="preserve">La información clasificada como CONFIDENCIAL o RESTRINGIDA</w:t>
      </w:r>
      <w:r>
        <w:t xml:space="preserve"> </w:t>
      </w:r>
      <w:r>
        <w:rPr>
          <w:bCs/>
          <w:b/>
        </w:rPr>
        <w:t xml:space="preserve">no se almacenará localmente</w:t>
      </w:r>
      <w:r>
        <w:t xml:space="preserve"> </w:t>
      </w:r>
      <w:r>
        <w:t xml:space="preserve">en el dispositivo personal.</w:t>
      </w:r>
    </w:p>
    <w:p>
      <w:pPr>
        <w:numPr>
          <w:ilvl w:val="0"/>
          <w:numId w:val="1002"/>
        </w:numPr>
      </w:pPr>
      <w:r>
        <w:t xml:space="preserve">Se utilizarán contenedores corporativos (MDM) para separar los datos personales de los corporativos cuando la tecnología lo permita.</w:t>
      </w:r>
    </w:p>
    <w:p>
      <w:pPr>
        <w:numPr>
          <w:ilvl w:val="0"/>
          <w:numId w:val="1002"/>
        </w:numPr>
      </w:pPr>
      <w:r>
        <w:t xml:space="preserve">La Entidad se reserva el derecho de</w:t>
      </w:r>
      <w:r>
        <w:t xml:space="preserve"> </w:t>
      </w:r>
      <w:r>
        <w:rPr>
          <w:bCs/>
          <w:b/>
        </w:rPr>
        <w:t xml:space="preserve">borrar remotamente</w:t>
      </w:r>
      <w:r>
        <w:t xml:space="preserve"> </w:t>
      </w:r>
      <w:r>
        <w:t xml:space="preserve">los datos corporativos del dispositivo en caso de pérdida, sustracción, cese de la relación laboral o incidente de seguridad.</w:t>
      </w:r>
    </w:p>
    <w:p>
      <w:pPr>
        <w:numPr>
          <w:ilvl w:val="0"/>
          <w:numId w:val="1002"/>
        </w:numPr>
      </w:pPr>
      <w:r>
        <w:t xml:space="preserve">La persona usuaria acepta que el dispositivo personal podrá ser</w:t>
      </w:r>
      <w:r>
        <w:t xml:space="preserve"> </w:t>
      </w:r>
      <w:r>
        <w:rPr>
          <w:bCs/>
          <w:b/>
        </w:rPr>
        <w:t xml:space="preserve">inspeccionado</w:t>
      </w:r>
      <w:r>
        <w:t xml:space="preserve"> </w:t>
      </w:r>
      <w:r>
        <w:t xml:space="preserve">por el equipo de seguridad en caso de incidente, limitándose la inspección al contenedor corporativo.</w:t>
      </w:r>
    </w:p>
    <w:bookmarkEnd w:id="23"/>
    <w:bookmarkStart w:id="24" w:name="aprobación-y-vigencia"/>
    <w:p>
      <w:pPr>
        <w:pStyle w:val="Heading2"/>
      </w:pPr>
      <w:r>
        <w:t xml:space="preserve">5. APROBACIÓN Y VIGENCIA</w:t>
      </w:r>
    </w:p>
    <w:p>
      <w:pPr>
        <w:pStyle w:val="FirstParagraph"/>
      </w:pPr>
      <w:r>
        <w:t xml:space="preserve">Aprobada por {{ cliente.organo_aprobador_politicas }} el {{ proyecto.fecha_aprobacion_inicial }}. Revisión anual.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Documento {{ proyecto.codigo_documento_base }}-118 — Versión {{ proyecto.version_actual }} — Clasificación: INTERNA</w:t>
      </w:r>
    </w:p>
    <w:bookmarkEnd w:id="24"/>
    <w:bookmarkEnd w:id="25"/>
    <w:sectPr>
      <w:headerReference w:type="default" r:id="rId9"/>
      <w:footerReference w:type="default" r:id="rId1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tblLayout w:type="fixed"/>
      <w:tblLook w:firstColumn="1" w:firstRow="1" w:lastColumn="0" w:lastRow="0" w:noHBand="0" w:noVBand="1" w:val="04A0"/>
    </w:tblPr>
    <w:tblGrid>
      <w:gridCol w:w="3024"/>
      <w:gridCol w:w="3024"/>
      <w:gridCol w:w="3024"/>
    </w:tblGrid>
    <w:tr>
      <w:tc>
        <w:tcPr>
          <w:tcW w:type="dxa" w:w="3810"/>
        </w:tcPr>
        <w:p>
          <w:pPr>
            <w:jc w:val="left"/>
          </w:pPr>
          <w:r>
            <w:rPr>
              <w:b w:val="0"/>
              <w:color w:val="6B7280"/>
              <w:sz w:val="16"/>
            </w:rPr>
            <w:t>CONFIDENCIAL — {{ cliente.razon_social }}</w:t>
          </w:r>
        </w:p>
      </w:tc>
      <w:tc>
        <w:tcPr>
          <w:tcW w:type="dxa" w:w="2540"/>
        </w:tcPr>
        <w:p>
          <w:pPr>
            <w:jc w:val="center"/>
          </w:pPr>
          <w:r>
            <w:rPr>
              <w:b w:val="0"/>
              <w:color w:val="6B7280"/>
              <w:sz w:val="16"/>
            </w:rPr>
            <w:t>E-118 · v{{ proyecto.version_actual }}</w:t>
          </w:r>
        </w:p>
      </w:tc>
      <w:tc>
        <w:tcPr>
          <w:tcW w:type="dxa" w:w="2721"/>
        </w:tcPr>
        <w:p>
          <w:pPr>
            <w:jc w:val="right"/>
          </w:pPr>
          <w:r>
            <w:rPr>
              <w:b w:val="0"/>
              <w:color w:val="6B7280"/>
              <w:sz w:val="16"/>
            </w:rPr>
            <w:t xml:space="preserve">Página </w:t>
          </w:r>
          <w:r>
            <w:rPr>
              <w:b w:val="0"/>
              <w:color w:val="6B7280"/>
              <w:sz w:val="16"/>
            </w:rPr>
            <w:fldChar w:fldCharType="begin"/>
            <w:instrText xml:space="preserve">PAGE</w:instrText>
            <w:fldChar w:fldCharType="end"/>
          </w:r>
          <w:r>
            <w:rPr>
              <w:b w:val="0"/>
              <w:color w:val="6B7280"/>
              <w:sz w:val="16"/>
            </w:rPr>
            <w:t xml:space="preserve"> / </w:t>
          </w:r>
          <w:r>
            <w:rPr>
              <w:b w:val="0"/>
              <w:color w:val="6B7280"/>
              <w:sz w:val="16"/>
            </w:rPr>
            <w:fldChar w:fldCharType="begin"/>
            <w:instrText xml:space="preserve">NUMPAGES</w:instrText>
            <w:fldChar w:fldCharType="end"/>
          </w:r>
        </w:p>
      </w:tc>
    </w:tr>
  </w:tbl>
  <w:p>
    <w:r>
      <w:rPr>
        <w:sz w:val="2"/>
      </w:rPr>
      <w:t>&lt;!--FX_FTR_V2--&gt;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jc w:val="center"/>
      <w:tblLayout w:type="fixed"/>
      <w:tblLook w:firstColumn="1" w:firstRow="1" w:lastColumn="0" w:lastRow="0" w:noHBand="0" w:noVBand="1" w:val="04A0"/>
    </w:tblPr>
    <w:tblGrid>
      <w:gridCol w:w="3024"/>
      <w:gridCol w:w="3024"/>
      <w:gridCol w:w="3024"/>
    </w:tblGrid>
    <w:tr>
      <w:tc>
        <w:tcPr>
          <w:tcW w:type="dxa" w:w="3447"/>
        </w:tcPr>
        <w:p>
          <w:pPr>
            <w:jc w:val="left"/>
          </w:pPr>
          <w:r>
            <w:rPr>
              <w:b/>
              <w:color w:val="0B1F3A"/>
              <w:sz w:val="22"/>
            </w:rPr>
            <w:t>{{ cliente.header_brand }}</w:t>
          </w:r>
        </w:p>
      </w:tc>
      <w:tc>
        <w:tcPr>
          <w:tcW w:type="dxa" w:w="3084"/>
        </w:tcPr>
        <w:p>
          <w:pPr>
            <w:jc w:val="center"/>
          </w:pPr>
          <w:r>
            <w:rPr>
              <w:b w:val="0"/>
              <w:color w:val="6B7280"/>
              <w:sz w:val="18"/>
            </w:rPr>
            <w:t>E-118 · POLÍTICA DE BYOD (Bring Your Own Device)</w:t>
            <w:br/>
            <w:t>versión {{ proyecto.version_actual }}</w:t>
          </w:r>
        </w:p>
      </w:tc>
      <w:tc>
        <w:tcPr>
          <w:tcW w:type="dxa" w:w="2540"/>
        </w:tcPr>
        <w:p>
          <w:pPr>
            <w:jc w:val="right"/>
          </w:pPr>
          <w:r>
            <w:rPr>
              <w:b w:val="0"/>
              <w:color w:val="0B1F3A"/>
              <w:sz w:val="18"/>
            </w:rPr>
            <w:t>{{ consultor.header_brand }}</w:t>
          </w:r>
        </w:p>
      </w:tc>
    </w:tr>
  </w:tbl>
  <w:p>
    <w:r>
      <w:rPr>
        <w:sz w:val="2"/>
      </w:rPr>
      <w:t>&lt;!--FX_HDR_V2--&gt;</w:t>
    </w:r>
  </w:p>
</w:hdr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721">
    <w:nsid w:val="A99721"/>
    <w:multiLevelType w:val="multilevel"/>
    <w:lvl w:ilvl="0">
      <w:start w:val="1"/>
      <w:numFmt w:val="lowerLetter"/>
      <w:lvlText w:val="%1)"/>
      <w:lvlJc w:val="left"/>
      <w:pPr>
        <w:ind w:left="720" w:hanging="480"/>
      </w:pPr>
    </w:lvl>
    <w:lvl w:ilvl="1">
      <w:start w:val="1"/>
      <w:numFmt w:val="lowerLetter"/>
      <w:lvlText w:val="%2)"/>
      <w:lvlJc w:val="left"/>
      <w:pPr>
        <w:ind w:left="1440" w:hanging="480"/>
      </w:pPr>
    </w:lvl>
    <w:lvl w:ilvl="2">
      <w:start w:val="1"/>
      <w:numFmt w:val="lowerLetter"/>
      <w:lvlText w:val="%3)"/>
      <w:lvlJc w:val="left"/>
      <w:pPr>
        <w:ind w:left="2160" w:hanging="480"/>
      </w:pPr>
    </w:lvl>
    <w:lvl w:ilvl="3">
      <w:start w:val="1"/>
      <w:numFmt w:val="lowerLetter"/>
      <w:lvlText w:val="%4)"/>
      <w:lvlJc w:val="left"/>
      <w:pPr>
        <w:ind w:left="2880" w:hanging="480"/>
      </w:pPr>
    </w:lvl>
    <w:lvl w:ilvl="4">
      <w:start w:val="1"/>
      <w:numFmt w:val="lowerLetter"/>
      <w:lvlText w:val="%5)"/>
      <w:lvlJc w:val="left"/>
      <w:pPr>
        <w:ind w:left="3600" w:hanging="480"/>
      </w:pPr>
    </w:lvl>
    <w:lvl w:ilvl="5">
      <w:start w:val="1"/>
      <w:numFmt w:val="lowerLetter"/>
      <w:lvlText w:val="%6)"/>
      <w:lvlJc w:val="left"/>
      <w:pPr>
        <w:ind w:left="4320" w:hanging="480"/>
      </w:pPr>
    </w:lvl>
    <w:lvl w:ilvl="6">
      <w:start w:val="1"/>
      <w:numFmt w:val="lowerLetter"/>
      <w:lvlText w:val="%7)"/>
      <w:lvlJc w:val="left"/>
      <w:pPr>
        <w:ind w:left="5040" w:hanging="480"/>
      </w:pPr>
    </w:lvl>
    <w:lvl w:ilvl="7">
      <w:start w:val="1"/>
      <w:numFmt w:val="lowerLetter"/>
      <w:lvlText w:val="%8)"/>
      <w:lvlJc w:val="left"/>
      <w:pPr>
        <w:ind w:left="5760" w:hanging="480"/>
      </w:pPr>
    </w:lvl>
    <w:lvl w:ilvl="8">
      <w:start w:val="1"/>
      <w:numFmt w:val="lowerLetter"/>
      <w:lvlText w:val="%9)"/>
      <w:lvlJc w:val="left"/>
      <w:pPr>
        <w:ind w:left="6480" w:hanging="480"/>
      </w:pPr>
    </w:lvl>
  </w:abstractNum>
  <w:num w:numId="1000">
    <w:abstractNumId w:val="990"/>
  </w:num>
  <w:num w:numId="1001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2026-04-14T18:00:38Z</dcterms:created>
  <dcterms:modified xsi:type="dcterms:W3CDTF">2026-04-14T18:00:38Z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robado_por">
    <vt:lpwstr>{{ cliente.organo_aprobador_politicas }}</vt:lpwstr>
  </property>
  <property fmtid="{D5CDD505-2E9C-101B-9397-08002B2CF9AE}" pid="3" name="clasificacion">
    <vt:lpwstr>INTERNA</vt:lpwstr>
  </property>
  <property fmtid="{D5CDD505-2E9C-101B-9397-08002B2CF9AE}" pid="4" name="codigo_documento">
    <vt:lpwstr>{{ proyecto.codigo_documento_base }}-118</vt:lpwstr>
  </property>
  <property fmtid="{D5CDD505-2E9C-101B-9397-08002B2CF9AE}" pid="5" name="fecha_aprobacion">
    <vt:lpwstr>{{ proyecto.fecha_aprobacion_inicial }}</vt:lpwstr>
  </property>
  <property fmtid="{D5CDD505-2E9C-101B-9397-08002B2CF9AE}" pid="6" name="titulo">
    <vt:lpwstr>Política de Uso de Dispositivos Personales (BYOD)</vt:lpwstr>
  </property>
  <property fmtid="{D5CDD505-2E9C-101B-9397-08002B2CF9AE}" pid="7" name="version">
    <vt:lpwstr>{{ proyecto.version_actual }}</vt:lpwstr>
  </property>
</Properties>
</file>