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883a8faff493caf28af694e2036f5db95f6860"/>
    <w:p>
      <w:pPr>
        <w:pStyle w:val="Heading1"/>
      </w:pPr>
      <w:r>
        <w:t xml:space="preserve">POLÍTICA DE GESTIÓN DE CLAVES CRIPTOGRÁFICAS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}}-120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Desarrollar en detalle el ciclo de vida completo de las claves criptográficas de {{ cliente.razon_social }}, complementando la Política Criptográfica ({{ proyecto.codigo_documento_base }}-107) con los requisitos operativos para la generación, distribución, almacenamiento, rotación, archivo, revocación y destrucción de claves.</w:t>
      </w:r>
    </w:p>
    <w:bookmarkEnd w:id="20"/>
    <w:bookmarkStart w:id="21" w:name="inventario-de-claves"/>
    <w:p>
      <w:pPr>
        <w:pStyle w:val="Heading2"/>
      </w:pPr>
      <w:r>
        <w:t xml:space="preserve">2. INVENTARIO DE CLAVES</w:t>
      </w:r>
    </w:p>
    <w:p>
      <w:pPr>
        <w:pStyle w:val="FirstParagraph"/>
      </w:pPr>
      <w:r>
        <w:t xml:space="preserve">Se mantendrá un</w:t>
      </w:r>
      <w:r>
        <w:t xml:space="preserve"> </w:t>
      </w:r>
      <w:r>
        <w:rPr>
          <w:bCs/>
          <w:b/>
        </w:rPr>
        <w:t xml:space="preserve">Inventario de Claves Criptográficas</w:t>
      </w:r>
      <w:r>
        <w:t xml:space="preserve"> </w:t>
      </w:r>
      <w:r>
        <w:t xml:space="preserve">que registre para cada clave: identificador, tipo (simétrica/asimétrica), algoritmo, longitud, propósito, sistema al que sirve, fecha de generación, fecha de expiración, custodio y estado (activa/expirada/revocada/destruida).</w:t>
      </w:r>
    </w:p>
    <w:bookmarkEnd w:id="21"/>
    <w:bookmarkStart w:id="22" w:name="generación"/>
    <w:p>
      <w:pPr>
        <w:pStyle w:val="Heading2"/>
      </w:pPr>
      <w:r>
        <w:t xml:space="preserve">3. GENERACIÓN</w:t>
      </w:r>
    </w:p>
    <w:p>
      <w:pPr>
        <w:pStyle w:val="FirstParagraph"/>
      </w:pPr>
      <w:r>
        <w:t xml:space="preserve">Las claves se generarán exclusivamente mediante generadores criptográficamente seguros (CSPRNG) o hardware criptográfico dedicado (HSM). Queda prohibida la generación manual o con fuentes de aleatoriedad no verificadas.</w:t>
      </w:r>
    </w:p>
    <w:bookmarkEnd w:id="22"/>
    <w:bookmarkStart w:id="23" w:name="custodia"/>
    <w:p>
      <w:pPr>
        <w:pStyle w:val="Heading2"/>
      </w:pPr>
      <w:r>
        <w:t xml:space="preserve">4. CUSTODIA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de custodia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Claves maestras (KEK)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HSM o vault corporativo con control de acceso 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Claves operativas simétricas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cifrado con acceso restringido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Claves privadas asimétricas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Almacenadas en el dispositivo destino, nunca exportables sin cifrar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Certificados digitales de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criptográfico personal (tarjeta inteligente, token USB)</w:t>
            </w:r>
          </w:p>
        </w:tc>
      </w:tr>
    </w:tbl>
    <w:bookmarkEnd w:id="23"/>
    <w:bookmarkStart w:id="24" w:name="rotación"/>
    <w:p>
      <w:pPr>
        <w:pStyle w:val="Heading2"/>
      </w:pPr>
      <w:r>
        <w:t xml:space="preserve">5. ROTACIÓN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máximo de rotación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Claves de sesión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Claves operativas (cifrado datos en reposo)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Claves de servidor (TLS)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Certificados de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al periodo del certificado (máx. 36 meses)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Claves maestras (KEK)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meses</w:t>
            </w:r>
          </w:p>
        </w:tc>
      </w:tr>
    </w:tbl>
    <w:bookmarkEnd w:id="24"/>
    <w:bookmarkStart w:id="25" w:name="compromiso"/>
    <w:p>
      <w:pPr>
        <w:pStyle w:val="Heading2"/>
      </w:pPr>
      <w:r>
        <w:t xml:space="preserve">6. COMPROMISO</w:t>
      </w:r>
    </w:p>
    <w:p>
      <w:pPr>
        <w:pStyle w:val="FirstParagraph"/>
      </w:pPr>
      <w:r>
        <w:t xml:space="preserve">En caso de compromiso o sospecha, se procederá a la revocación inmediata, generación de clave de sustitución, reevaluación de la integridad de la información afectada y gestión como incidente conforme a {{ proyecto.codigo_documento_base }}-108.</w:t>
      </w:r>
    </w:p>
    <w:bookmarkEnd w:id="25"/>
    <w:bookmarkStart w:id="26" w:name="destrucción"/>
    <w:p>
      <w:pPr>
        <w:pStyle w:val="Heading2"/>
      </w:pPr>
      <w:r>
        <w:t xml:space="preserve">7. DESTRUCCIÓN</w:t>
      </w:r>
    </w:p>
    <w:p>
      <w:pPr>
        <w:pStyle w:val="FirstParagraph"/>
      </w:pPr>
      <w:r>
        <w:t xml:space="preserve">Las claves que dejen de ser necesarias se destruirán de forma irreversible, salvo las que deban conservarse para acceder a información cifrada histórica, que se archivarán en repositorio de claves históricas con controles reforzados.</w:t>
      </w:r>
    </w:p>
    <w:bookmarkEnd w:id="26"/>
    <w:bookmarkStart w:id="27" w:name="aprobación-y-vigencia"/>
    <w:p>
      <w:pPr>
        <w:pStyle w:val="Heading2"/>
      </w:pPr>
      <w:r>
        <w:t xml:space="preserve">8.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}}-120 — Versión {{ proyecto.version_actual }} — Clasificación: INTERNA</w:t>
      </w:r>
    </w:p>
    <w:bookmarkEnd w:id="27"/>
    <w:bookmarkEnd w:id="2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E-120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E-120 · POLÍTICA DE GESTIÓN DE CLAVES CRIPTOGRÁFICAS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}}-120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Gestión de Claves Criptográficas</vt:lpwstr>
  </property>
  <property fmtid="{D5CDD505-2E9C-101B-9397-08002B2CF9AE}" pid="7" name="version">
    <vt:lpwstr>{{ proyecto.version_actual }}</vt:lpwstr>
  </property>
</Properties>
</file>