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99775ac335da6c869665220b40d777ed801df89"/>
    <w:p>
      <w:pPr>
        <w:pStyle w:val="Heading1"/>
      </w:pPr>
      <w:r>
        <w:t xml:space="preserve">POLÍTICA DE SEGURIDAD FÍSICA Y AMBIENTAL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}}-123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Establecer los principios y requisitos aplicables a la protección física de las instalaciones, equipos e infraestructuras que albergan los sistemas de información comprendidos en el alcance del SGSI de {{ cliente.razon_social }}, en cumplimiento de las medidas</w:t>
      </w:r>
      <w:r>
        <w:t xml:space="preserve"> </w:t>
      </w:r>
      <w:r>
        <w:rPr>
          <w:bCs/>
          <w:b/>
        </w:rPr>
        <w:t xml:space="preserve">mp.if.1 (Áreas separadas y con control de acceso)</w:t>
      </w:r>
      <w:r>
        <w:t xml:space="preserve">,</w:t>
      </w:r>
      <w:r>
        <w:t xml:space="preserve"> </w:t>
      </w:r>
      <w:r>
        <w:rPr>
          <w:bCs/>
          <w:b/>
        </w:rPr>
        <w:t xml:space="preserve">mp.if.2 (Identificación de las personas)</w:t>
      </w:r>
      <w:r>
        <w:t xml:space="preserve">,</w:t>
      </w:r>
      <w:r>
        <w:t xml:space="preserve"> </w:t>
      </w:r>
      <w:r>
        <w:rPr>
          <w:bCs/>
          <w:b/>
        </w:rPr>
        <w:t xml:space="preserve">mp.if.3 (Acondicionamiento de los locales)</w:t>
      </w:r>
      <w:r>
        <w:t xml:space="preserve">,</w:t>
      </w:r>
      <w:r>
        <w:t xml:space="preserve"> </w:t>
      </w:r>
      <w:r>
        <w:rPr>
          <w:bCs/>
          <w:b/>
        </w:rPr>
        <w:t xml:space="preserve">mp.if.4 (Energía eléctrica)</w:t>
      </w:r>
      <w:r>
        <w:t xml:space="preserve">,</w:t>
      </w:r>
      <w:r>
        <w:t xml:space="preserve"> </w:t>
      </w:r>
      <w:r>
        <w:rPr>
          <w:bCs/>
          <w:b/>
        </w:rPr>
        <w:t xml:space="preserve">mp.if.5 (Protección frente a incendios)</w:t>
      </w:r>
      <w:r>
        <w:t xml:space="preserve">,</w:t>
      </w:r>
      <w:r>
        <w:t xml:space="preserve"> </w:t>
      </w:r>
      <w:r>
        <w:rPr>
          <w:bCs/>
          <w:b/>
        </w:rPr>
        <w:t xml:space="preserve">mp.if.6 (Protección frente a inundaciones)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mp.if.7 (Registro de entrada y salida de equipamiento)</w:t>
      </w:r>
      <w:r>
        <w:t xml:space="preserve"> </w:t>
      </w:r>
      <w:r>
        <w:t xml:space="preserve">del Anexo II del Real Decreto 311/2022.</w:t>
      </w:r>
    </w:p>
    <w:bookmarkEnd w:id="20"/>
    <w:bookmarkStart w:id="21" w:name="ámbito-de-aplicación"/>
    <w:p>
      <w:pPr>
        <w:pStyle w:val="Heading2"/>
      </w:pPr>
      <w:r>
        <w:t xml:space="preserve">2. ÁMBITO DE APLICACIÓN</w:t>
      </w:r>
    </w:p>
    <w:p>
      <w:pPr>
        <w:pStyle w:val="FirstParagraph"/>
      </w:pPr>
      <w:r>
        <w:t xml:space="preserve">La presente Política se aplica a todas las instalaciones físicas que albergan elementos del sistema comprendidos en el alcance del SGSI:</w:t>
      </w:r>
    </w:p>
    <w:p>
      <w:pPr>
        <w:pStyle w:val="BodyText"/>
      </w:pPr>
      <w:r>
        <w:t xml:space="preserve">{% for sede in cliente.sedes %}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{{ sede.nombre }}</w:t>
      </w:r>
      <w:r>
        <w:t xml:space="preserve"> </w:t>
      </w:r>
      <w:r>
        <w:t xml:space="preserve">— {{ sede.direccion }}</w:t>
      </w:r>
      <w:r>
        <w:t xml:space="preserve"> </w:t>
      </w:r>
      <w:r>
        <w:t xml:space="preserve">{% endfor %}</w:t>
      </w:r>
    </w:p>
    <w:bookmarkEnd w:id="21"/>
    <w:bookmarkStart w:id="26" w:name="zonas-de-seguridad"/>
    <w:p>
      <w:pPr>
        <w:pStyle w:val="Heading2"/>
      </w:pPr>
      <w:r>
        <w:t xml:space="preserve">3. ZONAS DE SEGURIDAD</w:t>
      </w:r>
    </w:p>
    <w:p>
      <w:pPr>
        <w:pStyle w:val="FirstParagraph"/>
      </w:pPr>
      <w:r>
        <w:t xml:space="preserve">Las instalaciones se organizarán en zonas de seguridad concéntricas, con control de acceso progresivamente más restrictivo:</w:t>
      </w:r>
    </w:p>
    <w:bookmarkStart w:id="22" w:name="zona-pública"/>
    <w:p>
      <w:pPr>
        <w:pStyle w:val="Heading3"/>
      </w:pPr>
      <w:r>
        <w:t xml:space="preserve">3.1 Zona pública</w:t>
      </w:r>
    </w:p>
    <w:p>
      <w:pPr>
        <w:pStyle w:val="FirstParagraph"/>
      </w:pPr>
      <w:r>
        <w:t xml:space="preserve">Áreas accesibles sin restricción: recepción, salas de reuniones externas, zonas comunes del edificio.</w:t>
      </w:r>
    </w:p>
    <w:bookmarkEnd w:id="22"/>
    <w:bookmarkStart w:id="23" w:name="zona-controlada"/>
    <w:p>
      <w:pPr>
        <w:pStyle w:val="Heading3"/>
      </w:pPr>
      <w:r>
        <w:t xml:space="preserve">3.2 Zona controlada</w:t>
      </w:r>
    </w:p>
    <w:p>
      <w:pPr>
        <w:pStyle w:val="FirstParagraph"/>
      </w:pPr>
      <w:r>
        <w:t xml:space="preserve">Áreas de oficina restringidas al personal de la Entidad y a visitantes acompañados. Requieren identificación y registro.</w:t>
      </w:r>
    </w:p>
    <w:bookmarkEnd w:id="23"/>
    <w:bookmarkStart w:id="24" w:name="zona-restringida"/>
    <w:p>
      <w:pPr>
        <w:pStyle w:val="Heading3"/>
      </w:pPr>
      <w:r>
        <w:t xml:space="preserve">3.3 Zona restringida</w:t>
      </w:r>
    </w:p>
    <w:p>
      <w:pPr>
        <w:pStyle w:val="FirstParagraph"/>
      </w:pPr>
      <w:r>
        <w:t xml:space="preserve">Áreas que albergan equipos de red, servidores, cabinas de comunicaciones o información clasificada como CONFIDENCIAL. Acceso limitado a personal autorizado con necesidad de saber.</w:t>
      </w:r>
    </w:p>
    <w:bookmarkEnd w:id="24"/>
    <w:bookmarkStart w:id="25" w:name="zona-crítica"/>
    <w:p>
      <w:pPr>
        <w:pStyle w:val="Heading3"/>
      </w:pPr>
      <w:r>
        <w:t xml:space="preserve">3.4 Zona crítica</w:t>
      </w:r>
    </w:p>
    <w:p>
      <w:pPr>
        <w:pStyle w:val="FirstParagraph"/>
      </w:pPr>
      <w:r>
        <w:t xml:space="preserve">Centro de proceso de datos (CPD) o sala de servidores, si existe en las instalaciones de la Entidad. Acceso limitado al personal técnico expresamente autorizado, con registro individual de entradas y salidas.</w:t>
      </w:r>
    </w:p>
    <w:bookmarkEnd w:id="25"/>
    <w:bookmarkEnd w:id="26"/>
    <w:bookmarkStart w:id="27" w:name="control-de-acceso-físico-mp.if.1-mp.if.2"/>
    <w:p>
      <w:pPr>
        <w:pStyle w:val="Heading2"/>
      </w:pPr>
      <w:r>
        <w:t xml:space="preserve">4. CONTROL DE ACCESO FÍSICO [mp.if.1, mp.if.2]</w:t>
      </w:r>
    </w:p>
    <w:p>
      <w:pPr>
        <w:numPr>
          <w:ilvl w:val="0"/>
          <w:numId w:val="1001"/>
        </w:numPr>
      </w:pPr>
      <w:r>
        <w:t xml:space="preserve">Las zonas restringidas y críticas dispondrán de mecanismos de control de acceso (tarjeta magnética, biométrico u otros) que registren la identidad de cada persona que accede, la fecha y hora.</w:t>
      </w:r>
    </w:p>
    <w:p>
      <w:pPr>
        <w:numPr>
          <w:ilvl w:val="0"/>
          <w:numId w:val="1001"/>
        </w:numPr>
      </w:pPr>
      <w:r>
        <w:t xml:space="preserve">Los visitantes a zonas controladas o superiores serán identificados, registrados y acompañados durante toda su visita.</w:t>
      </w:r>
    </w:p>
    <w:p>
      <w:pPr>
        <w:numPr>
          <w:ilvl w:val="0"/>
          <w:numId w:val="1001"/>
        </w:numPr>
      </w:pPr>
      <w:r>
        <w:t xml:space="preserve">Las llaves, tarjetas y códigos de acceso se gestionarán mediante inventario controlado por el Responsable del Sistema, con procedimiento de entrega, devolución y desactivación al cese.</w:t>
      </w:r>
    </w:p>
    <w:bookmarkEnd w:id="27"/>
    <w:bookmarkStart w:id="28" w:name="acondicionamiento-de-locales-mp.if.3"/>
    <w:p>
      <w:pPr>
        <w:pStyle w:val="Heading2"/>
      </w:pPr>
      <w:r>
        <w:t xml:space="preserve">5. ACONDICIONAMIENTO DE LOCALES [mp.if.3]</w:t>
      </w:r>
    </w:p>
    <w:p>
      <w:pPr>
        <w:pStyle w:val="FirstParagraph"/>
      </w:pPr>
      <w:r>
        <w:t xml:space="preserve">Las salas que alberguen equipos críticos dispondrán de:</w:t>
      </w:r>
    </w:p>
    <w:p>
      <w:pPr>
        <w:numPr>
          <w:ilvl w:val="0"/>
          <w:numId w:val="1002"/>
        </w:numPr>
      </w:pPr>
      <w:r>
        <w:t xml:space="preserve">Sistema de climatización que mantenga temperatura y humedad dentro de los rangos operativos recomendados por los fabricantes de los equipos.</w:t>
      </w:r>
    </w:p>
    <w:p>
      <w:pPr>
        <w:numPr>
          <w:ilvl w:val="0"/>
          <w:numId w:val="1002"/>
        </w:numPr>
      </w:pPr>
      <w:r>
        <w:t xml:space="preserve">Suelo técnico o canalización adecuada para el tendido ordenado de cableado.</w:t>
      </w:r>
    </w:p>
    <w:p>
      <w:pPr>
        <w:numPr>
          <w:ilvl w:val="0"/>
          <w:numId w:val="1002"/>
        </w:numPr>
      </w:pPr>
      <w:r>
        <w:t xml:space="preserve">Aislamiento acústico y visual suficiente para evitar la observación no autorizada.</w:t>
      </w:r>
    </w:p>
    <w:bookmarkEnd w:id="28"/>
    <w:bookmarkStart w:id="29" w:name="suministro-eléctrico-mp.if.4"/>
    <w:p>
      <w:pPr>
        <w:pStyle w:val="Heading2"/>
      </w:pPr>
      <w:r>
        <w:t xml:space="preserve">6. SUMINISTRO ELÉCTRICO [mp.if.4]</w:t>
      </w:r>
    </w:p>
    <w:p>
      <w:pPr>
        <w:pStyle w:val="FirstParagraph"/>
      </w:pPr>
      <w:r>
        <w:t>{% if proyecto.categoria_ens in [“MEDIA”, “ALTA”] %} Los equipos críticos dispondrán de:</w:t>
      </w:r>
    </w:p>
    <w:p>
      <w:pPr>
        <w:numPr>
          <w:ilvl w:val="0"/>
          <w:numId w:val="1003"/>
        </w:numPr>
      </w:pPr>
      <w:r>
        <w:t xml:space="preserve">Sistemas de alimentación ininterrumpida (SAI/UPS) con autonomía suficiente para un apagado ordenado (mínimo 15 minutos para categoría MEDIA, 30 minutos para categoría ALTA).</w:t>
      </w:r>
    </w:p>
    <w:p>
      <w:pPr>
        <w:numPr>
          <w:ilvl w:val="0"/>
          <w:numId w:val="1003"/>
        </w:numPr>
      </w:pPr>
      <w:r>
        <w:t xml:space="preserve">Protección frente a sobretensiones y transitorios eléctricos.</w:t>
      </w:r>
    </w:p>
    <w:p>
      <w:pPr>
        <w:numPr>
          <w:ilvl w:val="0"/>
          <w:numId w:val="1003"/>
        </w:numPr>
      </w:pPr>
      <w:r>
        <w:t xml:space="preserve">Grupo electrógeno o acuerdo contractual con proveedor de energía alternativo para las zonas críticas, cuando la categoría sea ALTA.</w:t>
      </w:r>
      <w:r>
        <w:t xml:space="preserve"> </w:t>
      </w:r>
      <w:r>
        <w:t xml:space="preserve">{% else %}</w:t>
      </w:r>
      <w:r>
        <w:t xml:space="preserve"> </w:t>
      </w:r>
      <w:r>
        <w:t xml:space="preserve">Los equipos que soporten servicios incluidos en el alcance dispondrán de protección frente a sobretensiones y, deseablemente, de sistemas de alimentación ininterrumpida (SAI/UPS) para un apagado ordenado.</w:t>
      </w:r>
      <w:r>
        <w:t xml:space="preserve"> </w:t>
      </w:r>
      <w:r>
        <w:t xml:space="preserve">{% endif %}</w:t>
      </w:r>
    </w:p>
    <w:bookmarkEnd w:id="29"/>
    <w:bookmarkStart w:id="30" w:name="protección-contra-incendios-mp.if.5"/>
    <w:p>
      <w:pPr>
        <w:pStyle w:val="Heading2"/>
      </w:pPr>
      <w:r>
        <w:t xml:space="preserve">7. PROTECCIÓN CONTRA INCENDIOS [mp.if.5]</w:t>
      </w:r>
    </w:p>
    <w:p>
      <w:pPr>
        <w:pStyle w:val="FirstParagraph"/>
      </w:pPr>
      <w:r>
        <w:t xml:space="preserve">Las instalaciones cumplirán con la normativa de protección contra incendios aplicable (CTE, RIPCI) y, adicionalmente:</w:t>
      </w:r>
    </w:p>
    <w:p>
      <w:pPr>
        <w:numPr>
          <w:ilvl w:val="0"/>
          <w:numId w:val="1004"/>
        </w:numPr>
      </w:pPr>
      <w:r>
        <w:t xml:space="preserve">Las zonas restringidas y críticas dispondrán de sistemas de detección automática de incendios.</w:t>
      </w:r>
    </w:p>
    <w:p>
      <w:pPr>
        <w:numPr>
          <w:ilvl w:val="0"/>
          <w:numId w:val="1004"/>
        </w:numPr>
      </w:pPr>
      <w:r>
        <w:t xml:space="preserve">Se dispondrá de extintores adecuados (CO₂ o agente limpio en zonas con equipos electrónicos) correctamente señalizados y revisados periódicamente.</w:t>
      </w:r>
    </w:p>
    <w:p>
      <w:pPr>
        <w:numPr>
          <w:ilvl w:val="0"/>
          <w:numId w:val="1004"/>
        </w:numPr>
      </w:pPr>
      <w:r>
        <w:t xml:space="preserve">Se prohíbe fumar y almacenar materiales inflamables en las zonas restringidas y críticas.</w:t>
      </w:r>
    </w:p>
    <w:bookmarkEnd w:id="30"/>
    <w:bookmarkStart w:id="31" w:name="protección-contra-inundaciones-mp.if.6"/>
    <w:p>
      <w:pPr>
        <w:pStyle w:val="Heading2"/>
      </w:pPr>
      <w:r>
        <w:t xml:space="preserve">8. PROTECCIÓN CONTRA INUNDACIONES [mp.if.6]</w:t>
      </w:r>
    </w:p>
    <w:p>
      <w:pPr>
        <w:numPr>
          <w:ilvl w:val="0"/>
          <w:numId w:val="1005"/>
        </w:numPr>
      </w:pPr>
      <w:r>
        <w:t xml:space="preserve">Los equipos críticos se instalarán, siempre que sea posible, en ubicaciones no susceptibles de inundación (evitar sótanos y plantas bajas en zonas de riesgo).</w:t>
      </w:r>
    </w:p>
    <w:p>
      <w:pPr>
        <w:numPr>
          <w:ilvl w:val="0"/>
          <w:numId w:val="1005"/>
        </w:numPr>
      </w:pPr>
      <w:r>
        <w:t xml:space="preserve">Se instalarán sensores de agua en las salas que alberguen equipos críticos.</w:t>
      </w:r>
    </w:p>
    <w:p>
      <w:pPr>
        <w:numPr>
          <w:ilvl w:val="0"/>
          <w:numId w:val="1005"/>
        </w:numPr>
      </w:pPr>
      <w:r>
        <w:t xml:space="preserve">El cableado de red y de alimentación se tenderá por canalizaciones elevadas respecto al suelo.</w:t>
      </w:r>
    </w:p>
    <w:bookmarkEnd w:id="31"/>
    <w:bookmarkStart w:id="32" w:name="X2e339e3c21d709f1f2da6b3fc10fb29b543b004"/>
    <w:p>
      <w:pPr>
        <w:pStyle w:val="Heading2"/>
      </w:pPr>
      <w:r>
        <w:t xml:space="preserve">9. REGISTRO DE ENTRADA Y SALIDA DE EQUIPAMIENTO [mp.if.7]</w:t>
      </w:r>
    </w:p>
    <w:p>
      <w:pPr>
        <w:pStyle w:val="FirstParagraph"/>
      </w:pPr>
      <w:r>
        <w:t xml:space="preserve">Toda entrada o salida de equipamiento (servidores, dispositivos de almacenamiento, cintas de backup, soportes extraíbles) de las zonas restringidas y críticas se registrará, indicando:</w:t>
      </w:r>
    </w:p>
    <w:p>
      <w:pPr>
        <w:numPr>
          <w:ilvl w:val="0"/>
          <w:numId w:val="1006"/>
        </w:numPr>
      </w:pPr>
      <w:r>
        <w:t xml:space="preserve">Descripción del equipo y número de serie.</w:t>
      </w:r>
    </w:p>
    <w:p>
      <w:pPr>
        <w:numPr>
          <w:ilvl w:val="0"/>
          <w:numId w:val="1006"/>
        </w:numPr>
      </w:pPr>
      <w:r>
        <w:t xml:space="preserve">Persona que lo introduce o retira y motivo.</w:t>
      </w:r>
    </w:p>
    <w:p>
      <w:pPr>
        <w:numPr>
          <w:ilvl w:val="0"/>
          <w:numId w:val="1006"/>
        </w:numPr>
      </w:pPr>
      <w:r>
        <w:t xml:space="preserve">Fecha y hora.</w:t>
      </w:r>
    </w:p>
    <w:p>
      <w:pPr>
        <w:numPr>
          <w:ilvl w:val="0"/>
          <w:numId w:val="1006"/>
        </w:numPr>
      </w:pPr>
      <w:r>
        <w:t xml:space="preserve">Autorización del Responsable del Sistema.</w:t>
      </w:r>
    </w:p>
    <w:bookmarkEnd w:id="32"/>
    <w:bookmarkStart w:id="33" w:name="mantenimiento-de-instalaciones"/>
    <w:p>
      <w:pPr>
        <w:pStyle w:val="Heading2"/>
      </w:pPr>
      <w:r>
        <w:t xml:space="preserve">10. MANTENIMIENTO DE INSTALACIONES</w:t>
      </w:r>
    </w:p>
    <w:p>
      <w:pPr>
        <w:pStyle w:val="FirstParagraph"/>
      </w:pPr>
      <w:r>
        <w:t xml:space="preserve">Las instalaciones y sus sistemas de protección (climatización, SAI, detección de incendios, control de accesos) serán objeto de mantenimiento preventivo periódico conforme a los contratos de mantenimiento suscritos y a la normativa técnica aplicable.</w:t>
      </w:r>
    </w:p>
    <w:bookmarkEnd w:id="33"/>
    <w:bookmarkStart w:id="34" w:name="aprobación-revisión-y-vigencia"/>
    <w:p>
      <w:pPr>
        <w:pStyle w:val="Heading2"/>
      </w:pPr>
      <w:r>
        <w:t xml:space="preserve">11. APROBACIÓN, REVISIÓN Y VIGENCIA</w:t>
      </w:r>
    </w:p>
    <w:p>
      <w:pPr>
        <w:pStyle w:val="FirstParagraph"/>
      </w:pPr>
      <w:r>
        <w:t xml:space="preserve">Aprobada por {{ cliente.organo_aprobador_politicas }} el {{ proyecto.fecha_aprobacion_inicial }}. Revisión anual y siempre que se produzcan cambios en las instalaciones.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}}-123 — Versión {{ proyecto.version_actual }} — Clasificación: INTERNA</w:t>
      </w:r>
    </w:p>
    <w:bookmarkEnd w:id="34"/>
    <w:bookmarkEnd w:id="35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E-123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E-123 · POLÍTICA DE SEGURIDAD FÍSICA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2026-04-14T18:00:38Z</dcterms:created>
  <dcterms:modified xsi:type="dcterms:W3CDTF">2026-04-14T18:00:38Z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robado_por">
    <vt:lpwstr>{{ cliente.organo_aprobador_politicas }}</vt:lpwstr>
  </property>
  <property fmtid="{D5CDD505-2E9C-101B-9397-08002B2CF9AE}" pid="3" name="clasificacion">
    <vt:lpwstr>INTERNA</vt:lpwstr>
  </property>
  <property fmtid="{D5CDD505-2E9C-101B-9397-08002B2CF9AE}" pid="4" name="codigo_documento">
    <vt:lpwstr>{{ proyecto.codigo_documento_base }}-123</vt:lpwstr>
  </property>
  <property fmtid="{D5CDD505-2E9C-101B-9397-08002B2CF9AE}" pid="5" name="fecha_aprobacion">
    <vt:lpwstr>{{ proyecto.fecha_aprobacion_inicial }}</vt:lpwstr>
  </property>
  <property fmtid="{D5CDD505-2E9C-101B-9397-08002B2CF9AE}" pid="6" name="propietario">
    <vt:lpwstr>{{ responsables.responsable_seguridad.cargo }}</vt:lpwstr>
  </property>
  <property fmtid="{D5CDD505-2E9C-101B-9397-08002B2CF9AE}" pid="7" name="titulo">
    <vt:lpwstr>Política de Seguridad Física y Ambiental</vt:lpwstr>
  </property>
  <property fmtid="{D5CDD505-2E9C-101B-9397-08002B2CF9AE}" pid="8" name="version">
    <vt:lpwstr>{{ proyecto.version_actual }}</vt:lpwstr>
  </property>
</Properties>
</file>