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327eb705317d01fae76ed79b5c13c88ab37f2c"/>
    <w:p>
      <w:pPr>
        <w:pStyle w:val="Heading1"/>
      </w:pPr>
      <w:r>
        <w:t xml:space="preserve">Manual del Sistema de Gestión de Seguridad de la Información (SGSI)</w:t>
      </w:r>
    </w:p>
    <w:p>
      <w:pPr>
        <w:pStyle w:val="FirstParagraph"/>
      </w:pPr>
      <w:r>
        <w:rPr>
          <w:bCs/>
          <w:b/>
        </w:rPr>
        <w:t xml:space="preserve">Cliente</w:t>
      </w:r>
      <w:r>
        <w:t xml:space="preserve">: {{ client_name }}</w:t>
      </w:r>
      <w:r>
        <w:t xml:space="preserve"> </w:t>
      </w:r>
      <w:r>
        <w:rPr>
          <w:bCs/>
          <w:b/>
        </w:rPr>
        <w:t xml:space="preserve">Sistema</w:t>
      </w:r>
      <w:r>
        <w:t xml:space="preserve">: {{ system_name }}</w:t>
      </w:r>
      <w:r>
        <w:t xml:space="preserve"> </w:t>
      </w:r>
      <w:r>
        <w:rPr>
          <w:bCs/>
          <w:b/>
        </w:rPr>
        <w:t xml:space="preserve">Categoría</w:t>
      </w:r>
      <w:r>
        <w:t xml:space="preserve">: {{ system_category }}</w:t>
      </w:r>
      <w:r>
        <w:t xml:space="preserve"> </w:t>
      </w:r>
      <w:r>
        <w:rPr>
          <w:bCs/>
          <w:b/>
        </w:rPr>
        <w:t xml:space="preserve">Versión</w:t>
      </w:r>
      <w:r>
        <w:t xml:space="preserve">: {{ version }} ·</w:t>
      </w:r>
      <w:r>
        <w:t xml:space="preserve"> </w:t>
      </w:r>
      <w:r>
        <w:rPr>
          <w:bCs/>
          <w:b/>
        </w:rPr>
        <w:t xml:space="preserve">Fecha</w:t>
      </w:r>
      <w:r>
        <w:t xml:space="preserve">: {{ today }}</w:t>
      </w:r>
    </w:p>
    <w:p>
      <w:r>
        <w:pict>
          <v:rect style="width:0;height:1.5pt" o:hralign="center" o:hrstd="t" o:hr="t"/>
        </w:pict>
      </w:r>
    </w:p>
    <w:bookmarkStart w:id="22" w:name="X3537f8497da81c9cf8e41889341f4b4e53b57ae"/>
    <w:p>
      <w:pPr>
        <w:pStyle w:val="Heading2"/>
      </w:pPr>
      <w:r>
        <w:t xml:space="preserve">1. Alcance del SGSI</w:t>
      </w:r>
    </w:p>
    <w:p>
      <w:pPr>
        <w:pStyle w:val="FirstParagraph"/>
      </w:pPr>
      <w:r>
        <w:t xml:space="preserve">El presente Manual define el alcance, los objetivos y la estructura</w:t>
      </w:r>
      <w:r>
        <w:t xml:space="preserve"> </w:t>
      </w:r>
      <w:r>
        <w:t xml:space="preserve">del Sistema de Gestión de Seguridad de la Información (SGSI) de</w:t>
      </w:r>
      <w:r>
        <w:t xml:space="preserve"> </w:t>
      </w:r>
      <w:r>
        <w:t xml:space="preserve">{{ client_name }}, conforme al Esquema Nacional de Seguridad</w:t>
      </w:r>
      <w:r>
        <w:t xml:space="preserve"> </w:t>
      </w:r>
      <w:r>
        <w:t xml:space="preserve">(RD 311/2022) y, en su caso, a las normas internacionales aplicables</w:t>
      </w:r>
      <w:r>
        <w:t xml:space="preserve"> </w:t>
      </w:r>
      <w:r>
        <w:t xml:space="preserve">(ISO/IEC 27001).</w:t>
      </w:r>
    </w:p>
    <w:bookmarkStart w:id="20" w:name="X252ee56183be9de857f4b2e641506c12742526d"/>
    <w:p>
      <w:pPr>
        <w:pStyle w:val="Heading3"/>
      </w:pPr>
      <w:r>
        <w:t xml:space="preserve">1.1 Sistema cubierto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Nombre</w:t>
      </w:r>
      <w:r>
        <w:t xml:space="preserve">: {{ system_name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Categoría ENS</w:t>
      </w:r>
      <w:r>
        <w:t xml:space="preserve">: {{ system_category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Servicios prestados</w:t>
      </w:r>
      <w:r>
        <w:t xml:space="preserve">: {{ services_summary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Activos esenciales</w:t>
      </w:r>
      <w:r>
        <w:t xml:space="preserve">: {{ assets_essential_count }}</w:t>
      </w:r>
    </w:p>
    <w:bookmarkEnd w:id="20"/>
    <w:bookmarkStart w:id="21" w:name="X6e11b986edd915ffc25b12445fecb9366f29065"/>
    <w:p>
      <w:pPr>
        <w:pStyle w:val="Heading3"/>
      </w:pPr>
      <w:r>
        <w:t xml:space="preserve">1.2 Exclusiones y justificación</w:t>
      </w:r>
    </w:p>
    <w:p>
      <w:pPr>
        <w:pStyle w:val="FirstParagraph"/>
      </w:pPr>
      <w:r>
        <w:t xml:space="preserve">{{ exclusions_text }}</w:t>
      </w:r>
    </w:p>
    <w:bookmarkEnd w:id="21"/>
    <w:bookmarkEnd w:id="22"/>
    <w:bookmarkStart w:id="23" w:name="X08d7ef400f3bebda862ffeb92e3aeb34b5afdf9"/>
    <w:p>
      <w:pPr>
        <w:pStyle w:val="Heading2"/>
      </w:pPr>
      <w:r>
        <w:t xml:space="preserve">2. Política de Seguridad referenciada</w:t>
      </w:r>
    </w:p>
    <w:p>
      <w:pPr>
        <w:pStyle w:val="FirstParagraph"/>
      </w:pPr>
      <w:r>
        <w:t xml:space="preserve">El presente Manual se desarrolla a partir de la Política de Seguridad</w:t>
      </w:r>
      <w:r>
        <w:t xml:space="preserve"> </w:t>
      </w:r>
      <w:r>
        <w:t xml:space="preserve">de la Información aprobada por la Dirección (referencia E100,</w:t>
      </w:r>
      <w:r>
        <w:t xml:space="preserve"> </w:t>
      </w:r>
      <w:r>
        <w:t xml:space="preserve">versión {{ psi_version }}).</w:t>
      </w:r>
    </w:p>
    <w:bookmarkEnd w:id="23"/>
    <w:bookmarkStart w:id="24" w:name="X13dc736ddc617a875f2f610e1839f887fdeed45"/>
    <w:p>
      <w:pPr>
        <w:pStyle w:val="Heading2"/>
      </w:pPr>
      <w:r>
        <w:t xml:space="preserve">3. Roles y responsabilidades (CCN-STIC 801)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principales</w:t>
            </w:r>
          </w:p>
        </w:tc>
      </w:tr>
    </w:tbl>
    <w:p>
      <w:pPr>
        <w:pStyle w:val="BodyText"/>
      </w:pPr>
      <w:r>
        <w:t xml:space="preserve">{% for role in roles_table %}</w:t>
      </w:r>
      <w:r>
        <w:t xml:space="preserve"> </w:t>
      </w:r>
      <w:r>
        <w:t xml:space="preserve">| {{ role.role_name }} | {{ role.person }} | {{ role.email }} | {{ role.functions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Segregación funcional</w:t>
      </w:r>
      <w:r>
        <w:t xml:space="preserve">: el Responsable de Seguridad (RSEG) y el</w:t>
      </w:r>
      <w:r>
        <w:t xml:space="preserve"> </w:t>
      </w:r>
      <w:r>
        <w:t xml:space="preserve">Responsable del Sistema (RSIS) recaen en personas distintas (CCN-STIC</w:t>
      </w:r>
      <w:r>
        <w:t xml:space="preserve"> </w:t>
      </w:r>
      <w:r>
        <w:t xml:space="preserve">801, no-conformidad mayor en caso contrario).</w:t>
      </w:r>
    </w:p>
    <w:bookmarkEnd w:id="24"/>
    <w:bookmarkStart w:id="30" w:name="X8d2ba2eff09925c5837a46499fd0638179d94eb"/>
    <w:p>
      <w:pPr>
        <w:pStyle w:val="Heading2"/>
      </w:pPr>
      <w:r>
        <w:t xml:space="preserve">4. Procesos del SGSI</w:t>
      </w:r>
    </w:p>
    <w:bookmarkStart w:id="25" w:name="Xb283d6711a5acd4856f2761fbdabfa0226abac9"/>
    <w:p>
      <w:pPr>
        <w:pStyle w:val="Heading3"/>
      </w:pPr>
      <w:r>
        <w:t xml:space="preserve">4.1 Gestión de riesgos</w:t>
      </w:r>
    </w:p>
    <w:p>
      <w:pPr>
        <w:pStyle w:val="FirstParagraph"/>
      </w:pPr>
      <w:r>
        <w:t xml:space="preserve">Análisis de riesgos MAGERIT v3 ejecutado periódicamente. Riesgos</w:t>
      </w:r>
      <w:r>
        <w:t xml:space="preserve"> </w:t>
      </w:r>
      <w:r>
        <w:t xml:space="preserve">residuales aceptados por la Dirección (acta de aceptación firmada).</w:t>
      </w:r>
    </w:p>
    <w:bookmarkEnd w:id="25"/>
    <w:bookmarkStart w:id="26" w:name="X5ececac250a5e5a9d4bba08d2141c93ef7a6c08"/>
    <w:p>
      <w:pPr>
        <w:pStyle w:val="Heading3"/>
      </w:pPr>
      <w:r>
        <w:t xml:space="preserve">4.2 Gestión de incidentes</w:t>
      </w:r>
    </w:p>
    <w:p>
      <w:pPr>
        <w:pStyle w:val="FirstParagraph"/>
      </w:pPr>
      <w:r>
        <w:t xml:space="preserve">Procedimiento E204 con árbol de decisión: clasificación → contención</w:t>
      </w:r>
      <w:r>
        <w:t xml:space="preserve"> </w:t>
      </w:r>
      <w:r>
        <w:t xml:space="preserve">→ erradicación → recuperación → lecciones aprendidas. Notificación</w:t>
      </w:r>
      <w:r>
        <w:t xml:space="preserve"> </w:t>
      </w:r>
      <w:r>
        <w:t xml:space="preserve">obligatoria CCN-CERT vía LUCIA en incidentes significativos</w:t>
      </w:r>
      <w:r>
        <w:t xml:space="preserve"> </w:t>
      </w:r>
      <w:r>
        <w:t xml:space="preserve">(art. 33 RD 311/2022).</w:t>
      </w:r>
    </w:p>
    <w:bookmarkEnd w:id="26"/>
    <w:bookmarkStart w:id="27" w:name="X1caa3168e1b631d8634ff6ca96291ba069b6d59"/>
    <w:p>
      <w:pPr>
        <w:pStyle w:val="Heading3"/>
      </w:pPr>
      <w:r>
        <w:t xml:space="preserve">4.3 Gestión de cambios</w:t>
      </w:r>
    </w:p>
    <w:p>
      <w:pPr>
        <w:pStyle w:val="FirstParagraph"/>
      </w:pPr>
      <w:r>
        <w:t xml:space="preserve">Procedimiento E203 con autorización formal previa, evaluación de</w:t>
      </w:r>
      <w:r>
        <w:t xml:space="preserve"> </w:t>
      </w:r>
      <w:r>
        <w:t xml:space="preserve">impacto en seguridad y registro en historial. Cambios sustanciales</w:t>
      </w:r>
      <w:r>
        <w:t xml:space="preserve"> </w:t>
      </w:r>
      <w:r>
        <w:t xml:space="preserve">disparan auditoría extraordinaria (art. 31 RD 311/2022).</w:t>
      </w:r>
    </w:p>
    <w:bookmarkEnd w:id="27"/>
    <w:bookmarkStart w:id="28" w:name="X2ee5a8c44572181faa46fde5532f1d54a069061"/>
    <w:p>
      <w:pPr>
        <w:pStyle w:val="Heading3"/>
      </w:pPr>
      <w:r>
        <w:t xml:space="preserve">4.4 Auditorías internas</w:t>
      </w:r>
    </w:p>
    <w:p>
      <w:pPr>
        <w:pStyle w:val="FirstParagraph"/>
      </w:pPr>
      <w:r>
        <w:t xml:space="preserve">Auditoría interna anual (procedimiento E216). Para Categoría Media/Alta:</w:t>
      </w:r>
      <w:r>
        <w:t xml:space="preserve"> </w:t>
      </w:r>
      <w:r>
        <w:t xml:space="preserve">auditoría externa por ENAC bienal (CCN-STIC 802).</w:t>
      </w:r>
    </w:p>
    <w:bookmarkEnd w:id="28"/>
    <w:bookmarkStart w:id="29" w:name="Xdddda6a02de645c7cfbe5e673025133fb0d3dc2"/>
    <w:p>
      <w:pPr>
        <w:pStyle w:val="Heading3"/>
      </w:pPr>
      <w:r>
        <w:t xml:space="preserve">4.5 Revisión por la Dirección</w:t>
      </w:r>
    </w:p>
    <w:p>
      <w:pPr>
        <w:pStyle w:val="FirstParagraph"/>
      </w:pPr>
      <w:r>
        <w:t xml:space="preserve">Acta anual de revisión SGSI por la Dirección, contemplando:</w:t>
      </w:r>
      <w:r>
        <w:t xml:space="preserve"> </w:t>
      </w:r>
      <w:r>
        <w:t xml:space="preserve">indicadores, hallazgos auditorías, acciones correctivas/preventivas,</w:t>
      </w:r>
      <w:r>
        <w:t xml:space="preserve"> </w:t>
      </w:r>
      <w:r>
        <w:t xml:space="preserve">cambios en el contexto, plan próximo año.</w:t>
      </w:r>
    </w:p>
    <w:bookmarkEnd w:id="29"/>
    <w:bookmarkEnd w:id="30"/>
    <w:bookmarkStart w:id="31" w:name="X4f0fe4ef087d8bd75d8862be08c54685765cd75"/>
    <w:p>
      <w:pPr>
        <w:pStyle w:val="Heading2"/>
      </w:pPr>
      <w:r>
        <w:t xml:space="preserve">5. Documentación SGSI (4 niveles · CCN-STIC 805)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Órgano superior 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E100 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E101-E126 (acceso, criptografía, teletrabajo,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RSEG / RSIS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E200-E2XX (gestión incidentes, cambios, copias,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Manuales operativos, scripts hardening</w:t>
            </w:r>
          </w:p>
        </w:tc>
      </w:tr>
    </w:tbl>
    <w:bookmarkEnd w:id="31"/>
    <w:bookmarkStart w:id="32" w:name="X47af1d4bcfea8cf3b65afc515b718985b60ee04"/>
    <w:p>
      <w:pPr>
        <w:pStyle w:val="Heading2"/>
      </w:pPr>
      <w:r>
        <w:t xml:space="preserve">6. Métricas e indicadores</w:t>
      </w:r>
    </w:p>
    <w:p>
      <w:pPr>
        <w:pStyle w:val="FirstParagraph"/>
      </w:pPr>
      <w:r>
        <w:t xml:space="preserve">Indicadores SGSI catálogo CCN-STIC 815 (obligatorio Media/Alta):</w:t>
      </w:r>
    </w:p>
    <w:p>
      <w:pPr>
        <w:numPr>
          <w:ilvl w:val="0"/>
          <w:numId w:val="1002"/>
        </w:numPr>
        <w:pStyle w:val="Compact"/>
      </w:pPr>
      <w:r>
        <w:t xml:space="preserve">Disponibilidad servicios críticos</w:t>
      </w:r>
    </w:p>
    <w:p>
      <w:pPr>
        <w:numPr>
          <w:ilvl w:val="0"/>
          <w:numId w:val="1002"/>
        </w:numPr>
        <w:pStyle w:val="Compact"/>
      </w:pPr>
      <w:r>
        <w:t xml:space="preserve">Tiempo medio detección/respuesta incidentes</w:t>
      </w:r>
    </w:p>
    <w:p>
      <w:pPr>
        <w:numPr>
          <w:ilvl w:val="0"/>
          <w:numId w:val="1002"/>
        </w:numPr>
        <w:pStyle w:val="Compact"/>
      </w:pPr>
      <w:r>
        <w:t xml:space="preserve">% cumplimiento medidas Anexo II</w:t>
      </w:r>
    </w:p>
    <w:p>
      <w:pPr>
        <w:numPr>
          <w:ilvl w:val="0"/>
          <w:numId w:val="1002"/>
        </w:numPr>
        <w:pStyle w:val="Compact"/>
      </w:pPr>
      <w:r>
        <w:t xml:space="preserve">Madurez CMM por familia (L0-L5)</w:t>
      </w:r>
    </w:p>
    <w:p>
      <w:pPr>
        <w:numPr>
          <w:ilvl w:val="0"/>
          <w:numId w:val="1002"/>
        </w:numPr>
        <w:pStyle w:val="Compact"/>
      </w:pPr>
      <w:r>
        <w:t xml:space="preserve">Cobertura concienciación personal</w:t>
      </w:r>
    </w:p>
    <w:bookmarkEnd w:id="32"/>
    <w:bookmarkStart w:id="33" w:name="X04511713087bd5a9995b5fff4f2227ec2c07c64"/>
    <w:p>
      <w:pPr>
        <w:pStyle w:val="Heading2"/>
      </w:pPr>
      <w:r>
        <w:t xml:space="preserve">7. Mejora continua</w:t>
      </w:r>
    </w:p>
    <w:p>
      <w:pPr>
        <w:pStyle w:val="FirstParagraph"/>
      </w:pPr>
      <w:r>
        <w:t xml:space="preserve">Ciclo PDCA aplicado mediante:</w:t>
      </w:r>
    </w:p>
    <w:p>
      <w:pPr>
        <w:numPr>
          <w:ilvl w:val="0"/>
          <w:numId w:val="1003"/>
        </w:numPr>
        <w:pStyle w:val="Compact"/>
      </w:pPr>
      <w:r>
        <w:t xml:space="preserve">Revisión por dirección anual</w:t>
      </w:r>
    </w:p>
    <w:p>
      <w:pPr>
        <w:numPr>
          <w:ilvl w:val="0"/>
          <w:numId w:val="1003"/>
        </w:numPr>
        <w:pStyle w:val="Compact"/>
      </w:pPr>
      <w:r>
        <w:t xml:space="preserve">Auditorías internas anuales</w:t>
      </w:r>
    </w:p>
    <w:p>
      <w:pPr>
        <w:numPr>
          <w:ilvl w:val="0"/>
          <w:numId w:val="1003"/>
        </w:numPr>
        <w:pStyle w:val="Compact"/>
      </w:pPr>
      <w:r>
        <w:t xml:space="preserve">Auditorías externas (ENAC) bienales en Media/Alta</w:t>
      </w:r>
    </w:p>
    <w:p>
      <w:pPr>
        <w:numPr>
          <w:ilvl w:val="0"/>
          <w:numId w:val="1003"/>
        </w:numPr>
        <w:pStyle w:val="Compact"/>
      </w:pPr>
      <w:r>
        <w:t xml:space="preserve">Auditorías extraordinarias en cambios sustanciales</w:t>
      </w:r>
    </w:p>
    <w:p>
      <w:pPr>
        <w:numPr>
          <w:ilvl w:val="0"/>
          <w:numId w:val="1003"/>
        </w:numPr>
        <w:pStyle w:val="Compact"/>
      </w:pPr>
      <w:r>
        <w:t xml:space="preserve">INES anual (CCN-STIC 824/844)</w:t>
      </w:r>
    </w:p>
    <w:p>
      <w:r>
        <w:pict>
          <v:rect style="width:0;height:1.5pt" o:hralign="center" o:hrstd="t" o:hr="t"/>
        </w:pict>
      </w:r>
    </w:p>
    <w:bookmarkEnd w:id="33"/>
    <w:bookmarkStart w:id="34" w:name="aprobación"/>
    <w:p>
      <w:pPr>
        <w:pStyle w:val="Heading2"/>
      </w:pPr>
      <w:r>
        <w:t xml:space="preserve">Aprobación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Seguridad (RSEG)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conforme RD 311/2022 + CCN-STIC 805/815 +</w:t>
      </w:r>
      <w:r>
        <w:t xml:space="preserve"> </w:t>
      </w:r>
      <w:r>
        <w:rPr>
          <w:iCs/>
          <w:i/>
        </w:rPr>
        <w:t xml:space="preserve">ISO 27001 (mapping CCN-STIC 825). Plantilla E160 · v{{ template_version }}.</w:t>
      </w:r>
    </w:p>
    <w:bookmarkEnd w:id="34"/>
    <w:bookmarkEnd w:id="3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E-160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E-160 · MANUAL DEL SGSI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2026-05-21T17:11:01Z</dcterms:created>
  <dcterms:modified xsi:type="dcterms:W3CDTF">2026-05-21T17:11:01Z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