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de1e435a111ee21cdfd53e337c5df002e021e7"/>
    <w:p>
      <w:pPr>
        <w:pStyle w:val="Heading1"/>
      </w:pPr>
      <w:r>
        <w:t xml:space="preserve">PROCEDIMIENTO DE BAJA DE PERSONAL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}}-201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Garantizar que al cesar la relación de una persona con {{ cliente.razon_social }} se revocan todos los accesos, se recuperan todos los activos y se preserva la seguridad de la información, conforme a los plazos establecidos en la Política de Control de Accesos ({{ proyecto.codigo_documento_base }}-101).</w:t>
      </w:r>
    </w:p>
    <w:bookmarkEnd w:id="20"/>
    <w:bookmarkStart w:id="21" w:name="tipos-de-baja"/>
    <w:p>
      <w:pPr>
        <w:pStyle w:val="Heading2"/>
      </w:pPr>
      <w:r>
        <w:t xml:space="preserve">2. TIPOS DE BAJA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Plazos de revocación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 contrato, jubilación, dimisión voluntaria con preaviso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 tabla del apartado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Despido disciplinario, cese conflictivo, sospecha de deslealtad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Inmediata y previa a la comunicación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Fallecimiento, incapacidad sobrevenida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</w:tbl>
    <w:bookmarkEnd w:id="21"/>
    <w:bookmarkStart w:id="22" w:name="flujo-operativo-baja-ordinaria"/>
    <w:p>
      <w:pPr>
        <w:pStyle w:val="Heading2"/>
      </w:pPr>
      <w:r>
        <w:t xml:space="preserve">3. FLUJO OPERATIVO — BAJA ORDINARIA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 notifica al Resp. Seguridad la fecha efectiva de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 días hábiles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 genera la</w:t>
            </w:r>
            <w:r>
              <w:t xml:space="preserve"> </w:t>
            </w:r>
            <w:r>
              <w:rPr>
                <w:bCs/>
                <w:b/>
              </w:rPr>
              <w:t xml:space="preserve">lista de comprobación de baja</w:t>
            </w:r>
            <w:r>
              <w:t xml:space="preserve"> </w:t>
            </w:r>
            <w:r>
              <w:t xml:space="preserve">(Anexo I) con todos los accesos, equipos y credenciales de la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Revocación de accesos lógicos en los plazos: privilegiados 1h, información ALTA 4h, MEDIA 24h, generales 72h desde la efectividad del cese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plazos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Deshabilitación del correo electrónico corporativo con redirección al responsable jerárquico (máx. 30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del cese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 sesiones activas en todos los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del cese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de equipos: portátil, móvil, token MFA, tarjeta de acceso, llaves, soportes extraíbles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 + RRHH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del cese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o borrado de información corporativa en dispositivos personales si BYOD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del cese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Recordatorio escrito de las obligaciones de confidencialidad subsistentes (NDA)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del cese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 de salida (opcional, recomendada para puestos con acceso a información sensible)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 + 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días tras el cese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final de que todos los puntos de la lista de comprobación están cerrados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horas tras el cese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la baja en el sistema de gestión del SGSI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horas</w:t>
            </w:r>
          </w:p>
        </w:tc>
      </w:tr>
    </w:tbl>
    <w:bookmarkEnd w:id="22"/>
    <w:bookmarkStart w:id="23" w:name="flujo-baja-conflictiva"/>
    <w:p>
      <w:pPr>
        <w:pStyle w:val="Heading2"/>
      </w:pPr>
      <w:r>
        <w:t xml:space="preserve">4. FLUJO — BAJA CONFLICTIVA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 o Dirección notifica al Resp. Seguridad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comunicar el despido al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RRHH/Dirección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Revocación inmediata</w:t>
            </w:r>
            <w:r>
              <w:t xml:space="preserve"> </w:t>
            </w:r>
            <w:r>
              <w:t xml:space="preserve">de todos los accesos lógicos y físicos antes o simultáneamente a la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forense de las acciones realizadas por la cuenta en los últimos 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Monitorización reforzada durante 72 horas por si detecta accesos residuales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 del flujo ordinario (pasos 6-11)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paso</w:t>
            </w:r>
          </w:p>
        </w:tc>
      </w:tr>
    </w:tbl>
    <w:bookmarkEnd w:id="23"/>
    <w:bookmarkStart w:id="24" w:name="registros"/>
    <w:p>
      <w:pPr>
        <w:pStyle w:val="Heading2"/>
      </w:pPr>
      <w:r>
        <w:t xml:space="preserve">5. REGISTROS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de comprobación de baja completada y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devolución de 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Recordatorio NDA firmado por el exempleado (si acepta)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Vigencia NDA</w:t>
            </w:r>
          </w:p>
        </w:tc>
      </w:tr>
    </w:tbl>
    <w:bookmarkEnd w:id="24"/>
    <w:bookmarkStart w:id="25" w:name="indicadores"/>
    <w:p>
      <w:pPr>
        <w:pStyle w:val="Heading2"/>
      </w:pPr>
      <w:r>
        <w:t xml:space="preserve">6.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Bajas con revocación de accesos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Bajas con todos los equipos recuperados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de comprobación cerrada en 72h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}}-201 — Versión {{ proyecto.version_actual }} — Clasificación: INTERNA</w:t>
      </w:r>
    </w:p>
    <w:bookmarkEnd w:id="25"/>
    <w:bookmarkEnd w:id="26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E-201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E-201 · PROCEDIMIENTO DE BAJA DE PERSONAL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}}-201</vt:lpwstr>
  </property>
  <property fmtid="{D5CDD505-2E9C-101B-9397-08002B2CF9AE}" pid="4" name="politica_madre">
    <vt:lpwstr>{{ proyecto.codigo_documento_base }}-124</vt:lpwstr>
  </property>
  <property fmtid="{D5CDD505-2E9C-101B-9397-08002B2CF9AE}" pid="5" name="titulo">
    <vt:lpwstr>Procedimiento de Baja de Personal</vt:lpwstr>
  </property>
  <property fmtid="{D5CDD505-2E9C-101B-9397-08002B2CF9AE}" pid="6" name="version">
    <vt:lpwstr>{{ proyecto.version_actual }}</vt:lpwstr>
  </property>
</Properties>
</file>