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6" w:name="X2649863dcc8068dfe510230191cdaf8506d4089"/>
    <w:p>
      <w:pPr>
        <w:pStyle w:val="Heading1"/>
      </w:pPr>
      <w:r>
        <w:t xml:space="preserve">PROCEDIMIENTO DE COPIAS DE SEGURIDAD Y RESTAURACIÓN DE {{ cliente.razon_social | upper }}</w:t>
      </w:r>
    </w:p>
    <w:p>
      <w:pPr>
        <w:pStyle w:val="FirstParagraph"/>
      </w:pPr>
      <w:r>
        <w:rPr>
          <w:bCs/>
          <w:b/>
        </w:rPr>
        <w:t xml:space="preserve">Documento {{ proyecto.codigo_documento_base }}-210 — Versión {{ proyecto.version_actual }}</w:t>
      </w:r>
    </w:p>
    <w:p>
      <w:r>
        <w:pict>
          <v:rect style="width:0;height:1.5pt" o:hralign="center" o:hrstd="t" o:hr="t"/>
        </w:pict>
      </w:r>
    </w:p>
    <w:bookmarkStart w:id="20" w:name="objeto"/>
    <w:p>
      <w:pPr>
        <w:pStyle w:val="Heading2"/>
      </w:pPr>
      <w:r>
        <w:t xml:space="preserve">1. OBJETO</w:t>
      </w:r>
    </w:p>
    <w:p>
      <w:pPr>
        <w:pStyle w:val="FirstParagraph"/>
      </w:pPr>
      <w:r>
        <w:t xml:space="preserve">Establecer el método operativo mediante el cual {{ cliente.razon_social }} planifica, ejecuta, verifica, custodia y, en caso necesario, utiliza copias de seguridad de los datos, configuraciones y sistemas comprendidos en el alcance del SGSI, garantizando la disponibilidad e integridad de la información ante cualquier tipo de pérdida, corrupción, destrucción o cifrado malicioso.</w:t>
      </w:r>
    </w:p>
    <w:p>
      <w:pPr>
        <w:pStyle w:val="BodyText"/>
      </w:pPr>
      <w:r>
        <w:t xml:space="preserve">Este procedimiento desarrolla el apartado 6.2 de la Política de Continuidad del Servicio ({{ proyecto.codigo_documento_base }}-104) y materializa la medida</w:t>
      </w:r>
      <w:r>
        <w:t xml:space="preserve"> </w:t>
      </w:r>
      <w:r>
        <w:rPr>
          <w:bCs/>
          <w:b/>
        </w:rPr>
        <w:t xml:space="preserve">mp.info.9 (Copias de seguridad)</w:t>
      </w:r>
      <w:r>
        <w:t xml:space="preserve"> </w:t>
      </w:r>
      <w:r>
        <w:t xml:space="preserve">del Anexo II del Real Decreto 311/2022.</w:t>
      </w:r>
    </w:p>
    <w:bookmarkEnd w:id="20"/>
    <w:bookmarkStart w:id="21" w:name="alcance"/>
    <w:p>
      <w:pPr>
        <w:pStyle w:val="Heading2"/>
      </w:pPr>
      <w:r>
        <w:t xml:space="preserve">2. ALCANCE</w:t>
      </w:r>
    </w:p>
    <w:p>
      <w:pPr>
        <w:pStyle w:val="FirstParagraph"/>
      </w:pPr>
      <w:r>
        <w:t xml:space="preserve">Aplica a todos los datos, configuraciones, sistemas operativos, aplicaciones, máquinas virtuales y elementos cuya pérdida o corrupción pudiera afectar a la operación de los servicios comprendidos en el alcance del SGSI.</w:t>
      </w:r>
    </w:p>
    <w:bookmarkEnd w:id="21"/>
    <w:bookmarkStart w:id="22" w:name="estrategia-de-copia-regla-3-2-1-1-0"/>
    <w:p>
      <w:pPr>
        <w:pStyle w:val="Heading2"/>
      </w:pPr>
      <w:r>
        <w:t xml:space="preserve">3. ESTRATEGIA DE COPIA — REGLA 3-2-1-1-0</w:t>
      </w:r>
    </w:p>
    <w:p>
      <w:pPr>
        <w:pStyle w:val="FirstParagraph"/>
      </w:pPr>
      <w:r>
        <w:t xml:space="preserve">La estrategia de copia adoptada se ajusta a la</w:t>
      </w:r>
      <w:r>
        <w:t xml:space="preserve"> </w:t>
      </w:r>
      <w:r>
        <w:rPr>
          <w:bCs/>
          <w:b/>
        </w:rPr>
        <w:t xml:space="preserve">regla 3-2-1-1-0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3</w:t>
      </w:r>
      <w:r>
        <w:t xml:space="preserve"> </w:t>
      </w:r>
      <w:r>
        <w:t xml:space="preserve">copias de los datos críticos en total (incluido el original).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</w:t>
      </w:r>
      <w:r>
        <w:t xml:space="preserve"> </w:t>
      </w:r>
      <w:r>
        <w:t xml:space="preserve">soportes diferentes para almacenarlas.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</w:t>
      </w:r>
      <w:r>
        <w:t xml:space="preserve"> </w:t>
      </w:r>
      <w:r>
        <w:t xml:space="preserve">copia almacenada</w:t>
      </w:r>
      <w:r>
        <w:t xml:space="preserve"> </w:t>
      </w:r>
      <w:r>
        <w:rPr>
          <w:bCs/>
          <w:b/>
        </w:rPr>
        <w:t xml:space="preserve">fuera de las instalaciones principales</w:t>
      </w:r>
      <w:r>
        <w:t xml:space="preserve"> </w:t>
      </w:r>
      <w:r>
        <w:t xml:space="preserve">(offsite).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1</w:t>
      </w:r>
      <w:r>
        <w:t xml:space="preserve"> </w:t>
      </w:r>
      <w:r>
        <w:t xml:space="preserve">copia adicional</w:t>
      </w:r>
      <w:r>
        <w:t xml:space="preserve"> </w:t>
      </w:r>
      <w:r>
        <w:rPr>
          <w:bCs/>
          <w:b/>
        </w:rPr>
        <w:t xml:space="preserve">inmutable o air-gapped</w:t>
      </w:r>
      <w:r>
        <w:t xml:space="preserve"> </w:t>
      </w:r>
      <w:r>
        <w:t xml:space="preserve">para protección frente a ransomware.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0</w:t>
      </w:r>
      <w:r>
        <w:t xml:space="preserve"> </w:t>
      </w:r>
      <w:r>
        <w:t xml:space="preserve">errores detectados en las pruebas de restauración periódicas.</w:t>
      </w:r>
    </w:p>
    <w:bookmarkEnd w:id="22"/>
    <w:bookmarkStart w:id="23" w:name="matriz-de-copia-por-tipo-de-dato"/>
    <w:p>
      <w:pPr>
        <w:pStyle w:val="Heading2"/>
      </w:pPr>
      <w:r>
        <w:t xml:space="preserve">4. MATRIZ DE COPIA POR TIPO DE DATO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 mínima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copia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de datos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4 horas (incremental) + diaria (completa)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+ dump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offsite cifrado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Bases de datos no críticas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Dump lógico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offsite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Sistemas de ficheros corporativos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(incremental) + semanal (completa)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nivel de bloque o fichero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offsite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Configuraciones de servidores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cada cambio + 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+ IaC en 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versionado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Configuraciones de red (firewall, switches, routers)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 cada cambio +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en formato texto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versionado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Imágenes de máquinas virtuales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meses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+ offsite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Código fuente y artefactos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Indefinida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Git + binarios firmados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+ offsite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y trazas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 (envío a SIEM) + 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política {{ proyecto.codigo_documento_base }}-203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Append-only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SIEM + almacenamiento WORM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Registros del SGSI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Vida del SGSI + 5 años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Snapshot del 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Repositorio + offsite</w:t>
            </w:r>
          </w:p>
        </w:tc>
      </w:tr>
    </w:tbl>
    <w:bookmarkEnd w:id="23"/>
    <w:bookmarkStart w:id="29" w:name="requisitos-de-protección-de-las-copias"/>
    <w:p>
      <w:pPr>
        <w:pStyle w:val="Heading2"/>
      </w:pPr>
      <w:r>
        <w:t xml:space="preserve">5. REQUISITOS DE PROTECCIÓN DE LAS COPIAS</w:t>
      </w:r>
    </w:p>
    <w:bookmarkStart w:id="24" w:name="cifrado"/>
    <w:p>
      <w:pPr>
        <w:pStyle w:val="Heading3"/>
      </w:pPr>
      <w:r>
        <w:t xml:space="preserve">5.1 Cifrado</w:t>
      </w:r>
    </w:p>
    <w:p>
      <w:pPr>
        <w:pStyle w:val="FirstParagraph"/>
      </w:pPr>
      <w:r>
        <w:rPr>
          <w:bCs/>
          <w:b/>
        </w:rPr>
        <w:t xml:space="preserve">Paso 1.</w:t>
      </w:r>
      <w:r>
        <w:t xml:space="preserve"> </w:t>
      </w:r>
      <w:r>
        <w:t xml:space="preserve">Todas las copias de seguridad se almacenarán</w:t>
      </w:r>
      <w:r>
        <w:t xml:space="preserve"> </w:t>
      </w:r>
      <w:r>
        <w:rPr>
          <w:bCs/>
          <w:b/>
        </w:rPr>
        <w:t xml:space="preserve">cifradas en reposo</w:t>
      </w:r>
      <w:r>
        <w:t xml:space="preserve"> </w:t>
      </w:r>
      <w:r>
        <w:t xml:space="preserve">mediante algoritmos conformes al apartado 4 de la Política de Cifrado ({{ proyecto.codigo_documento_base }}-105):</w:t>
      </w:r>
    </w:p>
    <w:p>
      <w:pPr>
        <w:numPr>
          <w:ilvl w:val="0"/>
          <w:numId w:val="1002"/>
        </w:numPr>
        <w:pStyle w:val="Compact"/>
      </w:pPr>
      <w:r>
        <w:t xml:space="preserve">AES-256 en modo GCM o CCM para el cifrado de los datos.</w:t>
      </w:r>
    </w:p>
    <w:p>
      <w:pPr>
        <w:numPr>
          <w:ilvl w:val="0"/>
          <w:numId w:val="1002"/>
        </w:numPr>
        <w:pStyle w:val="Compact"/>
      </w:pPr>
      <w:r>
        <w:t xml:space="preserve">Claves gestionadas en HSM o vault corporativo conforme al apartado 6 de la Política {{ proyecto.codigo_documento_base }}-105.</w:t>
      </w:r>
    </w:p>
    <w:bookmarkEnd w:id="24"/>
    <w:bookmarkStart w:id="25" w:name="verificación-de-integridad"/>
    <w:p>
      <w:pPr>
        <w:pStyle w:val="Heading3"/>
      </w:pPr>
      <w:r>
        <w:t xml:space="preserve">5.2 Verificación de integridad</w:t>
      </w:r>
    </w:p>
    <w:p>
      <w:pPr>
        <w:pStyle w:val="FirstParagraph"/>
      </w:pPr>
      <w:r>
        <w:rPr>
          <w:bCs/>
          <w:b/>
        </w:rPr>
        <w:t xml:space="preserve">Paso 2.</w:t>
      </w:r>
      <w:r>
        <w:t xml:space="preserve"> </w:t>
      </w:r>
      <w:r>
        <w:t xml:space="preserve">Cada copia se acompañará de un</w:t>
      </w:r>
      <w:r>
        <w:t xml:space="preserve"> </w:t>
      </w:r>
      <w:r>
        <w:rPr>
          <w:bCs/>
          <w:b/>
        </w:rPr>
        <w:t xml:space="preserve">valor hash SHA-256</w:t>
      </w:r>
      <w:r>
        <w:t xml:space="preserve"> </w:t>
      </w:r>
      <w:r>
        <w:t xml:space="preserve">calculado en el momento de su creación, que permita verificar posteriormente su integridad.</w:t>
      </w:r>
    </w:p>
    <w:p>
      <w:pPr>
        <w:pStyle w:val="BodyText"/>
      </w:pPr>
      <w:r>
        <w:rPr>
          <w:bCs/>
          <w:b/>
        </w:rPr>
        <w:t xml:space="preserve">Paso 3.</w:t>
      </w:r>
      <w:r>
        <w:t xml:space="preserve"> </w:t>
      </w:r>
      <w:r>
        <w:t xml:space="preserve">El sistema de copias verificará automáticamente los hashes con periodicidad semanal y emitirá alerta ante cualquier discrepancia.</w:t>
      </w:r>
    </w:p>
    <w:bookmarkEnd w:id="25"/>
    <w:bookmarkStart w:id="26" w:name="inmutabilidad"/>
    <w:p>
      <w:pPr>
        <w:pStyle w:val="Heading3"/>
      </w:pPr>
      <w:r>
        <w:t xml:space="preserve">5.3 Inmutabilidad</w:t>
      </w:r>
    </w:p>
    <w:p>
      <w:pPr>
        <w:pStyle w:val="FirstParagraph"/>
      </w:pPr>
      <w:r>
        <w:rPr>
          <w:bCs/>
          <w:b/>
        </w:rPr>
        <w:t xml:space="preserve">Paso 4.</w:t>
      </w:r>
      <w:r>
        <w:t xml:space="preserve"> </w:t>
      </w:r>
      <w:r>
        <w:t xml:space="preserve">Para protegerse frente a ataques de ransomware, al menos una copia de cada dato crítico se almacenará en un sistema</w:t>
      </w:r>
      <w:r>
        <w:t xml:space="preserve"> </w:t>
      </w:r>
      <w:r>
        <w:rPr>
          <w:bCs/>
          <w:b/>
        </w:rPr>
        <w:t xml:space="preserve">inmutable</w:t>
      </w:r>
      <w:r>
        <w:t xml:space="preserve"> </w:t>
      </w:r>
      <w:r>
        <w:t xml:space="preserve">durante el periodo de retención, mediante:</w:t>
      </w:r>
    </w:p>
    <w:p>
      <w:pPr>
        <w:numPr>
          <w:ilvl w:val="0"/>
          <w:numId w:val="1003"/>
        </w:numPr>
        <w:pStyle w:val="Compact"/>
      </w:pPr>
      <w:r>
        <w:t xml:space="preserve">Object lock en almacenamiento S3-compatible (modo</w:t>
      </w:r>
      <w:r>
        <w:t xml:space="preserve"> </w:t>
      </w:r>
      <w:r>
        <w:rPr>
          <w:iCs/>
          <w:i/>
        </w:rPr>
        <w:t xml:space="preserve">compliance</w:t>
      </w:r>
      <w:r>
        <w:t xml:space="preserve">, no</w:t>
      </w:r>
      <w:r>
        <w:t xml:space="preserve"> </w:t>
      </w:r>
      <w:r>
        <w:rPr>
          <w:iCs/>
          <w:i/>
        </w:rPr>
        <w:t xml:space="preserve">governance</w:t>
      </w:r>
      <w:r>
        <w:t xml:space="preserve">).</w:t>
      </w:r>
    </w:p>
    <w:p>
      <w:pPr>
        <w:numPr>
          <w:ilvl w:val="0"/>
          <w:numId w:val="1003"/>
        </w:numPr>
        <w:pStyle w:val="Compact"/>
      </w:pPr>
      <w:r>
        <w:t xml:space="preserve">Sistemas de cinta con protección de escritura física.</w:t>
      </w:r>
    </w:p>
    <w:p>
      <w:pPr>
        <w:numPr>
          <w:ilvl w:val="0"/>
          <w:numId w:val="1003"/>
        </w:numPr>
        <w:pStyle w:val="Compact"/>
      </w:pPr>
      <w:r>
        <w:t xml:space="preserve">Soluciones de backup con snapshots inmutables.</w:t>
      </w:r>
    </w:p>
    <w:bookmarkEnd w:id="26"/>
    <w:bookmarkStart w:id="27" w:name="air-gapping"/>
    <w:p>
      <w:pPr>
        <w:pStyle w:val="Heading3"/>
      </w:pPr>
      <w:r>
        <w:t xml:space="preserve">5.4 Air-gapping</w:t>
      </w:r>
    </w:p>
    <w:p>
      <w:pPr>
        <w:pStyle w:val="FirstParagraph"/>
      </w:pPr>
      <w:r>
        <w:rPr>
          <w:bCs/>
          <w:b/>
        </w:rPr>
        <w:t xml:space="preserve">Paso 5.</w:t>
      </w:r>
      <w:r>
        <w:t xml:space="preserve"> </w:t>
      </w:r>
      <w:r>
        <w:t xml:space="preserve">Para sistemas de máxima criticidad, se mantendrá adicionalmente una copia en un soporte físicamente desconectado de la red (air-gapped), actualizada con periodicidad mensual.</w:t>
      </w:r>
    </w:p>
    <w:bookmarkEnd w:id="27"/>
    <w:bookmarkStart w:id="28" w:name="localización-offsite"/>
    <w:p>
      <w:pPr>
        <w:pStyle w:val="Heading3"/>
      </w:pPr>
      <w:r>
        <w:t xml:space="preserve">5.5 Localización offsite</w:t>
      </w:r>
    </w:p>
    <w:p>
      <w:pPr>
        <w:pStyle w:val="FirstParagraph"/>
      </w:pPr>
      <w:r>
        <w:rPr>
          <w:bCs/>
          <w:b/>
        </w:rPr>
        <w:t xml:space="preserve">Paso 6.</w:t>
      </w:r>
      <w:r>
        <w:t xml:space="preserve"> </w:t>
      </w:r>
      <w:r>
        <w:t xml:space="preserve">La copia offsite se almacenará en una</w:t>
      </w:r>
      <w:r>
        <w:t xml:space="preserve"> </w:t>
      </w:r>
      <w:r>
        <w:rPr>
          <w:bCs/>
          <w:b/>
        </w:rPr>
        <w:t xml:space="preserve">ubicación física distinta y suficientemente alejada</w:t>
      </w:r>
      <w:r>
        <w:t xml:space="preserve"> </w:t>
      </w:r>
      <w:r>
        <w:t xml:space="preserve">de las instalaciones principales para que un mismo evento (incendio, inundación, ataque físico) no pueda destruir simultáneamente el original y la copia.</w:t>
      </w:r>
    </w:p>
    <w:p>
      <w:pPr>
        <w:pStyle w:val="BodyText"/>
      </w:pPr>
      <w:r>
        <w:t xml:space="preserve">Cuando la copia offsite se almacene en proveedor cloud externo, se aplicarán las exigencias del apartado 7 de la Política {{ proyecto.codigo_documento_base }}-107 (Política de Proveedores).</w:t>
      </w:r>
    </w:p>
    <w:bookmarkEnd w:id="28"/>
    <w:bookmarkEnd w:id="29"/>
    <w:bookmarkStart w:id="33" w:name="ejecución-de-las-copias"/>
    <w:p>
      <w:pPr>
        <w:pStyle w:val="Heading2"/>
      </w:pPr>
      <w:r>
        <w:t xml:space="preserve">6. EJECUCIÓN DE LAS COPIAS</w:t>
      </w:r>
    </w:p>
    <w:bookmarkStart w:id="30" w:name="programación"/>
    <w:p>
      <w:pPr>
        <w:pStyle w:val="Heading3"/>
      </w:pPr>
      <w:r>
        <w:t xml:space="preserve">6.1 Programación</w:t>
      </w:r>
    </w:p>
    <w:p>
      <w:pPr>
        <w:pStyle w:val="FirstParagraph"/>
      </w:pPr>
      <w:r>
        <w:rPr>
          <w:bCs/>
          <w:b/>
        </w:rPr>
        <w:t xml:space="preserve">Paso 7.</w:t>
      </w:r>
      <w:r>
        <w:t xml:space="preserve"> </w:t>
      </w:r>
      <w:r>
        <w:t xml:space="preserve">Las copias se programan en horarios que minimicen el impacto en la operación, preferentemente fuera de las ventanas de mayor actividad operativa.</w:t>
      </w:r>
    </w:p>
    <w:p>
      <w:pPr>
        <w:pStyle w:val="BodyText"/>
      </w:pPr>
      <w:r>
        <w:rPr>
          <w:bCs/>
          <w:b/>
        </w:rPr>
        <w:t xml:space="preserve">Paso 8.</w:t>
      </w:r>
      <w:r>
        <w:t xml:space="preserve"> </w:t>
      </w:r>
      <w:r>
        <w:t xml:space="preserve">El sistema de gestión de copias monitoriza automáticamente la ejecución y emite alertas en caso de:</w:t>
      </w:r>
    </w:p>
    <w:p>
      <w:pPr>
        <w:numPr>
          <w:ilvl w:val="0"/>
          <w:numId w:val="1004"/>
        </w:numPr>
        <w:pStyle w:val="Compact"/>
      </w:pPr>
      <w:r>
        <w:t xml:space="preserve">Fallo en la ejecución de una tarea programada.</w:t>
      </w:r>
    </w:p>
    <w:p>
      <w:pPr>
        <w:numPr>
          <w:ilvl w:val="0"/>
          <w:numId w:val="1004"/>
        </w:numPr>
        <w:pStyle w:val="Compact"/>
      </w:pPr>
      <w:r>
        <w:t xml:space="preserve">Tarea no completada en el plazo previsto.</w:t>
      </w:r>
    </w:p>
    <w:p>
      <w:pPr>
        <w:numPr>
          <w:ilvl w:val="0"/>
          <w:numId w:val="1004"/>
        </w:numPr>
        <w:pStyle w:val="Compact"/>
      </w:pPr>
      <w:r>
        <w:t xml:space="preserve">Discrepancia en el tamaño esperado.</w:t>
      </w:r>
    </w:p>
    <w:p>
      <w:pPr>
        <w:numPr>
          <w:ilvl w:val="0"/>
          <w:numId w:val="1004"/>
        </w:numPr>
        <w:pStyle w:val="Compact"/>
      </w:pPr>
      <w:r>
        <w:t xml:space="preserve">Error en la verificación de integridad.</w:t>
      </w:r>
    </w:p>
    <w:bookmarkEnd w:id="30"/>
    <w:bookmarkStart w:id="31" w:name="resolución-de-fallos"/>
    <w:p>
      <w:pPr>
        <w:pStyle w:val="Heading3"/>
      </w:pPr>
      <w:r>
        <w:t xml:space="preserve">6.2 Resolución de fallos</w:t>
      </w:r>
    </w:p>
    <w:p>
      <w:pPr>
        <w:pStyle w:val="FirstParagraph"/>
      </w:pPr>
      <w:r>
        <w:rPr>
          <w:bCs/>
          <w:b/>
        </w:rPr>
        <w:t xml:space="preserve">Paso 9.</w:t>
      </w:r>
      <w:r>
        <w:t xml:space="preserve"> </w:t>
      </w:r>
      <w:r>
        <w:t xml:space="preserve">Ante cualquier alerta de fallo, el Responsable del Sistema procederá a:</w:t>
      </w:r>
    </w:p>
    <w:p>
      <w:pPr>
        <w:numPr>
          <w:ilvl w:val="0"/>
          <w:numId w:val="1005"/>
        </w:numPr>
        <w:pStyle w:val="Compact"/>
      </w:pPr>
      <w:r>
        <w:t xml:space="preserve">Diagnosticar la causa.</w:t>
      </w:r>
    </w:p>
    <w:p>
      <w:pPr>
        <w:numPr>
          <w:ilvl w:val="0"/>
          <w:numId w:val="1005"/>
        </w:numPr>
        <w:pStyle w:val="Compact"/>
      </w:pPr>
      <w:r>
        <w:t xml:space="preserve">Reintentar la ejecución de la copia fallida.</w:t>
      </w:r>
    </w:p>
    <w:p>
      <w:pPr>
        <w:numPr>
          <w:ilvl w:val="0"/>
          <w:numId w:val="1005"/>
        </w:numPr>
        <w:pStyle w:val="Compact"/>
      </w:pPr>
      <w:r>
        <w:t xml:space="preserve">Si el fallo persiste, escalar al Responsable de la Seguridad y registrar la incidencia.</w:t>
      </w:r>
    </w:p>
    <w:p>
      <w:pPr>
        <w:numPr>
          <w:ilvl w:val="0"/>
          <w:numId w:val="1005"/>
        </w:numPr>
        <w:pStyle w:val="Compact"/>
      </w:pPr>
      <w:r>
        <w:t xml:space="preserve">Documentar la solución aplicada.</w:t>
      </w:r>
    </w:p>
    <w:p>
      <w:pPr>
        <w:pStyle w:val="FirstParagraph"/>
      </w:pPr>
      <w:r>
        <w:rPr>
          <w:bCs/>
          <w:b/>
        </w:rPr>
        <w:t xml:space="preserve">Paso 10.</w:t>
      </w:r>
      <w:r>
        <w:t xml:space="preserve"> </w:t>
      </w:r>
      <w:r>
        <w:t xml:space="preserve">Tres fallos consecutivos en el mismo conjunto de datos requieren la apertura de un análisis específico y se reportan en el informe mensual al Comité de Seguridad.</w:t>
      </w:r>
    </w:p>
    <w:bookmarkEnd w:id="31"/>
    <w:bookmarkStart w:id="32" w:name="registros-de-copias"/>
    <w:p>
      <w:pPr>
        <w:pStyle w:val="Heading3"/>
      </w:pPr>
      <w:r>
        <w:t xml:space="preserve">6.3 Registros de copias</w:t>
      </w:r>
    </w:p>
    <w:p>
      <w:pPr>
        <w:pStyle w:val="FirstParagraph"/>
      </w:pPr>
      <w:r>
        <w:rPr>
          <w:bCs/>
          <w:b/>
        </w:rPr>
        <w:t xml:space="preserve">Paso 11.</w:t>
      </w:r>
      <w:r>
        <w:t xml:space="preserve"> </w:t>
      </w:r>
      <w:r>
        <w:t xml:space="preserve">Cada ejecución de copia genera un registro automático que incluye:</w:t>
      </w:r>
    </w:p>
    <w:p>
      <w:pPr>
        <w:numPr>
          <w:ilvl w:val="0"/>
          <w:numId w:val="1006"/>
        </w:numPr>
        <w:pStyle w:val="Compact"/>
      </w:pPr>
      <w:r>
        <w:t xml:space="preserve">Identificador único de la copia.</w:t>
      </w:r>
    </w:p>
    <w:p>
      <w:pPr>
        <w:numPr>
          <w:ilvl w:val="0"/>
          <w:numId w:val="1006"/>
        </w:numPr>
        <w:pStyle w:val="Compact"/>
      </w:pPr>
      <w:r>
        <w:t xml:space="preserve">Conjunto de datos copiado.</w:t>
      </w:r>
    </w:p>
    <w:p>
      <w:pPr>
        <w:numPr>
          <w:ilvl w:val="0"/>
          <w:numId w:val="1006"/>
        </w:numPr>
        <w:pStyle w:val="Compact"/>
      </w:pPr>
      <w:r>
        <w:t xml:space="preserve">Fecha y hora de inicio y fin.</w:t>
      </w:r>
    </w:p>
    <w:p>
      <w:pPr>
        <w:numPr>
          <w:ilvl w:val="0"/>
          <w:numId w:val="1006"/>
        </w:numPr>
        <w:pStyle w:val="Compact"/>
      </w:pPr>
      <w:r>
        <w:t xml:space="preserve">Tamaño de los datos copiados.</w:t>
      </w:r>
    </w:p>
    <w:p>
      <w:pPr>
        <w:numPr>
          <w:ilvl w:val="0"/>
          <w:numId w:val="1006"/>
        </w:numPr>
        <w:pStyle w:val="Compact"/>
      </w:pPr>
      <w:r>
        <w:t xml:space="preserve">Hash SHA-256 de la copia.</w:t>
      </w:r>
    </w:p>
    <w:p>
      <w:pPr>
        <w:numPr>
          <w:ilvl w:val="0"/>
          <w:numId w:val="1006"/>
        </w:numPr>
        <w:pStyle w:val="Compact"/>
      </w:pPr>
      <w:r>
        <w:t xml:space="preserve">Ubicación de almacenamiento.</w:t>
      </w:r>
    </w:p>
    <w:p>
      <w:pPr>
        <w:numPr>
          <w:ilvl w:val="0"/>
          <w:numId w:val="1006"/>
        </w:numPr>
        <w:pStyle w:val="Compact"/>
      </w:pPr>
      <w:r>
        <w:t xml:space="preserve">Resultado (exitoso, con avisos, fallido).</w:t>
      </w:r>
    </w:p>
    <w:p>
      <w:pPr>
        <w:numPr>
          <w:ilvl w:val="0"/>
          <w:numId w:val="1006"/>
        </w:numPr>
        <w:pStyle w:val="Compact"/>
      </w:pPr>
      <w:r>
        <w:t xml:space="preserve">Operador o sistema que ejecutó la copia.</w:t>
      </w:r>
    </w:p>
    <w:bookmarkEnd w:id="32"/>
    <w:bookmarkEnd w:id="33"/>
    <w:bookmarkStart w:id="38" w:name="pruebas-de-restauración"/>
    <w:p>
      <w:pPr>
        <w:pStyle w:val="Heading2"/>
      </w:pPr>
      <w:r>
        <w:t xml:space="preserve">7. PRUEBAS DE RESTAURACIÓN</w:t>
      </w:r>
    </w:p>
    <w:bookmarkStart w:id="34" w:name="programa-de-pruebas"/>
    <w:p>
      <w:pPr>
        <w:pStyle w:val="Heading3"/>
      </w:pPr>
      <w:r>
        <w:t xml:space="preserve">7.1 Programa de pruebas</w:t>
      </w:r>
    </w:p>
    <w:p>
      <w:pPr>
        <w:pStyle w:val="FirstParagraph"/>
      </w:pPr>
      <w:r>
        <w:rPr>
          <w:bCs/>
          <w:b/>
        </w:rPr>
        <w:t xml:space="preserve">Paso 12.</w:t>
      </w:r>
      <w:r>
        <w:t xml:space="preserve"> </w:t>
      </w:r>
      <w:r>
        <w:t xml:space="preserve">Las pruebas de restauración se realizarán con la siguiente periodicidad mínima, alineada con la categoría ENS del sistema: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BÁSICA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MEDIA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Categoría ALTA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Restauración de fichero individual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Restauración de base de datos completa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Restauración de sistema completo (DR)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Trimestral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Recuperación de copia inmutable / air-gapped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Semestral</w:t>
            </w:r>
          </w:p>
        </w:tc>
      </w:tr>
    </w:tbl>
    <w:bookmarkEnd w:id="34"/>
    <w:bookmarkStart w:id="35" w:name="ejecución-de-las-pruebas"/>
    <w:p>
      <w:pPr>
        <w:pStyle w:val="Heading3"/>
      </w:pPr>
      <w:r>
        <w:t xml:space="preserve">7.2 Ejecución de las pruebas</w:t>
      </w:r>
    </w:p>
    <w:p>
      <w:pPr>
        <w:pStyle w:val="FirstParagraph"/>
      </w:pPr>
      <w:r>
        <w:rPr>
          <w:bCs/>
          <w:b/>
        </w:rPr>
        <w:t xml:space="preserve">Paso 13.</w:t>
      </w:r>
      <w:r>
        <w:t xml:space="preserve"> </w:t>
      </w:r>
      <w:r>
        <w:t xml:space="preserve">Cada prueba se planifica con un</w:t>
      </w:r>
      <w:r>
        <w:t xml:space="preserve"> </w:t>
      </w:r>
      <w:r>
        <w:rPr>
          <w:bCs/>
          <w:b/>
        </w:rPr>
        <w:t xml:space="preserve">escenario predeterminado</w:t>
      </w:r>
      <w:r>
        <w:t xml:space="preserve"> </w:t>
      </w:r>
      <w:r>
        <w:t xml:space="preserve">que documenta:</w:t>
      </w:r>
    </w:p>
    <w:p>
      <w:pPr>
        <w:numPr>
          <w:ilvl w:val="0"/>
          <w:numId w:val="1007"/>
        </w:numPr>
        <w:pStyle w:val="Compact"/>
      </w:pPr>
      <w:r>
        <w:t xml:space="preserve">Conjunto de datos a restaurar.</w:t>
      </w:r>
    </w:p>
    <w:p>
      <w:pPr>
        <w:numPr>
          <w:ilvl w:val="0"/>
          <w:numId w:val="1007"/>
        </w:numPr>
        <w:pStyle w:val="Compact"/>
      </w:pPr>
      <w:r>
        <w:t xml:space="preserve">Punto en el tiempo objetivo (RPO de prueba).</w:t>
      </w:r>
    </w:p>
    <w:p>
      <w:pPr>
        <w:numPr>
          <w:ilvl w:val="0"/>
          <w:numId w:val="1007"/>
        </w:numPr>
        <w:pStyle w:val="Compact"/>
      </w:pPr>
      <w:r>
        <w:t xml:space="preserve">Objetivo de tiempo (RTO de prueba).</w:t>
      </w:r>
    </w:p>
    <w:p>
      <w:pPr>
        <w:numPr>
          <w:ilvl w:val="0"/>
          <w:numId w:val="1007"/>
        </w:numPr>
        <w:pStyle w:val="Compact"/>
      </w:pPr>
      <w:r>
        <w:t xml:space="preserve">Entorno de destino (siempre entorno aislado, nunca productivo).</w:t>
      </w:r>
    </w:p>
    <w:p>
      <w:pPr>
        <w:numPr>
          <w:ilvl w:val="0"/>
          <w:numId w:val="1007"/>
        </w:numPr>
        <w:pStyle w:val="Compact"/>
      </w:pPr>
      <w:r>
        <w:t xml:space="preserve">Criterios de éxito.</w:t>
      </w:r>
    </w:p>
    <w:p>
      <w:pPr>
        <w:pStyle w:val="FirstParagraph"/>
      </w:pPr>
      <w:r>
        <w:rPr>
          <w:bCs/>
          <w:b/>
        </w:rPr>
        <w:t xml:space="preserve">Paso 14.</w:t>
      </w:r>
      <w:r>
        <w:t xml:space="preserve"> </w:t>
      </w:r>
      <w:r>
        <w:t xml:space="preserve">Las pruebas se ejecutan en</w:t>
      </w:r>
      <w:r>
        <w:t xml:space="preserve"> </w:t>
      </w:r>
      <w:r>
        <w:rPr>
          <w:bCs/>
          <w:b/>
        </w:rPr>
        <w:t xml:space="preserve">entorno de laboratorio aislado</w:t>
      </w:r>
      <w:r>
        <w:t xml:space="preserve">, sin interferir con los sistemas productivos.</w:t>
      </w:r>
    </w:p>
    <w:p>
      <w:pPr>
        <w:pStyle w:val="BodyText"/>
      </w:pPr>
      <w:r>
        <w:rPr>
          <w:bCs/>
          <w:b/>
        </w:rPr>
        <w:t xml:space="preserve">Paso 15.</w:t>
      </w:r>
      <w:r>
        <w:t xml:space="preserve"> </w:t>
      </w:r>
      <w:r>
        <w:t xml:space="preserve">Tras la restauración se verifica la</w:t>
      </w:r>
      <w:r>
        <w:t xml:space="preserve"> </w:t>
      </w:r>
      <w:r>
        <w:rPr>
          <w:bCs/>
          <w:b/>
        </w:rPr>
        <w:t xml:space="preserve">integridad funcional</w:t>
      </w:r>
      <w:r>
        <w:t xml:space="preserve"> </w:t>
      </w:r>
      <w:r>
        <w:t xml:space="preserve">del entorno restaurado mediante pruebas de:</w:t>
      </w:r>
    </w:p>
    <w:p>
      <w:pPr>
        <w:numPr>
          <w:ilvl w:val="0"/>
          <w:numId w:val="1008"/>
        </w:numPr>
        <w:pStyle w:val="Compact"/>
      </w:pPr>
      <w:r>
        <w:t xml:space="preserve">Acceso a los datos.</w:t>
      </w:r>
    </w:p>
    <w:p>
      <w:pPr>
        <w:numPr>
          <w:ilvl w:val="0"/>
          <w:numId w:val="1008"/>
        </w:numPr>
        <w:pStyle w:val="Compact"/>
      </w:pPr>
      <w:r>
        <w:t xml:space="preserve">Consistencia de las relaciones entre tablas.</w:t>
      </w:r>
    </w:p>
    <w:p>
      <w:pPr>
        <w:numPr>
          <w:ilvl w:val="0"/>
          <w:numId w:val="1008"/>
        </w:numPr>
        <w:pStyle w:val="Compact"/>
      </w:pPr>
      <w:r>
        <w:t xml:space="preserve">Integridad referencial.</w:t>
      </w:r>
    </w:p>
    <w:p>
      <w:pPr>
        <w:numPr>
          <w:ilvl w:val="0"/>
          <w:numId w:val="1008"/>
        </w:numPr>
        <w:pStyle w:val="Compact"/>
      </w:pPr>
      <w:r>
        <w:t xml:space="preserve">Funcionamiento de las aplicaciones que consumen los datos.</w:t>
      </w:r>
    </w:p>
    <w:bookmarkEnd w:id="35"/>
    <w:bookmarkStart w:id="36" w:name="documentación-de-resultados"/>
    <w:p>
      <w:pPr>
        <w:pStyle w:val="Heading3"/>
      </w:pPr>
      <w:r>
        <w:t xml:space="preserve">7.3 Documentación de resultados</w:t>
      </w:r>
    </w:p>
    <w:p>
      <w:pPr>
        <w:pStyle w:val="FirstParagraph"/>
      </w:pPr>
      <w:r>
        <w:rPr>
          <w:bCs/>
          <w:b/>
        </w:rPr>
        <w:t xml:space="preserve">Paso 16.</w:t>
      </w:r>
      <w:r>
        <w:t xml:space="preserve"> </w:t>
      </w:r>
      <w:r>
        <w:t xml:space="preserve">Cada prueba genera un</w:t>
      </w:r>
      <w:r>
        <w:t xml:space="preserve"> </w:t>
      </w:r>
      <w:r>
        <w:rPr>
          <w:bCs/>
          <w:b/>
        </w:rPr>
        <w:t xml:space="preserve">Informe de Prueba de Restauración</w:t>
      </w:r>
      <w:r>
        <w:t xml:space="preserve"> </w:t>
      </w:r>
      <w:r>
        <w:t xml:space="preserve">que incluye:</w:t>
      </w:r>
    </w:p>
    <w:p>
      <w:pPr>
        <w:numPr>
          <w:ilvl w:val="0"/>
          <w:numId w:val="1009"/>
        </w:numPr>
        <w:pStyle w:val="Compact"/>
      </w:pPr>
      <w:r>
        <w:t xml:space="preserve">Identificación de la prueba y fecha.</w:t>
      </w:r>
    </w:p>
    <w:p>
      <w:pPr>
        <w:numPr>
          <w:ilvl w:val="0"/>
          <w:numId w:val="1009"/>
        </w:numPr>
        <w:pStyle w:val="Compact"/>
      </w:pPr>
      <w:r>
        <w:t xml:space="preserve">Conjunto de datos restaurado.</w:t>
      </w:r>
    </w:p>
    <w:p>
      <w:pPr>
        <w:numPr>
          <w:ilvl w:val="0"/>
          <w:numId w:val="1009"/>
        </w:numPr>
        <w:pStyle w:val="Compact"/>
      </w:pPr>
      <w:r>
        <w:t xml:space="preserve">Tiempo real de restauración (RTR) frente al objetivo.</w:t>
      </w:r>
    </w:p>
    <w:p>
      <w:pPr>
        <w:numPr>
          <w:ilvl w:val="0"/>
          <w:numId w:val="1009"/>
        </w:numPr>
        <w:pStyle w:val="Compact"/>
      </w:pPr>
      <w:r>
        <w:t xml:space="preserve">Resultados de las verificaciones de integridad.</w:t>
      </w:r>
    </w:p>
    <w:p>
      <w:pPr>
        <w:numPr>
          <w:ilvl w:val="0"/>
          <w:numId w:val="1009"/>
        </w:numPr>
        <w:pStyle w:val="Compact"/>
      </w:pPr>
      <w:r>
        <w:t xml:space="preserve">Incidencias detectadas y acciones correctivas.</w:t>
      </w:r>
    </w:p>
    <w:p>
      <w:pPr>
        <w:numPr>
          <w:ilvl w:val="0"/>
          <w:numId w:val="1009"/>
        </w:numPr>
        <w:pStyle w:val="Compact"/>
      </w:pPr>
      <w:r>
        <w:t xml:space="preserve">Conclusiones y recomendaciones.</w:t>
      </w:r>
    </w:p>
    <w:p>
      <w:pPr>
        <w:pStyle w:val="FirstParagraph"/>
      </w:pPr>
      <w:r>
        <w:rPr>
          <w:bCs/>
          <w:b/>
        </w:rPr>
        <w:t xml:space="preserve">Paso 17.</w:t>
      </w:r>
      <w:r>
        <w:t xml:space="preserve"> </w:t>
      </w:r>
      <w:r>
        <w:t xml:space="preserve">Los informes se elevan al Comité de Seguridad y se incorporan al expediente del SGSI conforme al procedimiento {{ proyecto.codigo_documento_base }}-203.</w:t>
      </w:r>
    </w:p>
    <w:bookmarkEnd w:id="36"/>
    <w:bookmarkStart w:id="37" w:name="acción-correctiva-ante-fallos"/>
    <w:p>
      <w:pPr>
        <w:pStyle w:val="Heading3"/>
      </w:pPr>
      <w:r>
        <w:t xml:space="preserve">7.4 Acción correctiva ante fallos</w:t>
      </w:r>
    </w:p>
    <w:p>
      <w:pPr>
        <w:pStyle w:val="FirstParagraph"/>
      </w:pPr>
      <w:r>
        <w:rPr>
          <w:bCs/>
          <w:b/>
        </w:rPr>
        <w:t xml:space="preserve">Paso 18.</w:t>
      </w:r>
      <w:r>
        <w:t xml:space="preserve"> </w:t>
      </w:r>
      <w:r>
        <w:t xml:space="preserve">Si una prueba falla, se abre</w:t>
      </w:r>
      <w:r>
        <w:t xml:space="preserve"> </w:t>
      </w:r>
      <w:r>
        <w:rPr>
          <w:bCs/>
          <w:b/>
        </w:rPr>
        <w:t xml:space="preserve">acción correctiva inmediata</w:t>
      </w:r>
      <w:r>
        <w:t xml:space="preserve"> </w:t>
      </w:r>
      <w:r>
        <w:t xml:space="preserve">que incluya:</w:t>
      </w:r>
    </w:p>
    <w:p>
      <w:pPr>
        <w:numPr>
          <w:ilvl w:val="0"/>
          <w:numId w:val="1010"/>
        </w:numPr>
        <w:pStyle w:val="Compact"/>
      </w:pPr>
      <w:r>
        <w:t xml:space="preserve">Análisis de la causa raíz.</w:t>
      </w:r>
    </w:p>
    <w:p>
      <w:pPr>
        <w:numPr>
          <w:ilvl w:val="0"/>
          <w:numId w:val="1010"/>
        </w:numPr>
        <w:pStyle w:val="Compact"/>
      </w:pPr>
      <w:r>
        <w:t xml:space="preserve">Plan de corrección con plazo definido.</w:t>
      </w:r>
    </w:p>
    <w:p>
      <w:pPr>
        <w:numPr>
          <w:ilvl w:val="0"/>
          <w:numId w:val="1010"/>
        </w:numPr>
        <w:pStyle w:val="Compact"/>
      </w:pPr>
      <w:r>
        <w:t xml:space="preserve">Reverificación tras la corrección.</w:t>
      </w:r>
    </w:p>
    <w:p>
      <w:pPr>
        <w:numPr>
          <w:ilvl w:val="0"/>
          <w:numId w:val="1010"/>
        </w:numPr>
        <w:pStyle w:val="Compact"/>
      </w:pPr>
      <w:r>
        <w:t xml:space="preserve">Notificación al Comité de Seguridad.</w:t>
      </w:r>
    </w:p>
    <w:bookmarkEnd w:id="37"/>
    <w:bookmarkEnd w:id="38"/>
    <w:bookmarkStart w:id="43" w:name="restauración-operativa"/>
    <w:p>
      <w:pPr>
        <w:pStyle w:val="Heading2"/>
      </w:pPr>
      <w:r>
        <w:t xml:space="preserve">8. RESTAURACIÓN OPERATIVA</w:t>
      </w:r>
    </w:p>
    <w:bookmarkStart w:id="39" w:name="solicitud"/>
    <w:p>
      <w:pPr>
        <w:pStyle w:val="Heading3"/>
      </w:pPr>
      <w:r>
        <w:t xml:space="preserve">8.1 Solicitud</w:t>
      </w:r>
    </w:p>
    <w:p>
      <w:pPr>
        <w:pStyle w:val="FirstParagraph"/>
      </w:pPr>
      <w:r>
        <w:rPr>
          <w:bCs/>
          <w:b/>
        </w:rPr>
        <w:t xml:space="preserve">Paso 19.</w:t>
      </w:r>
      <w:r>
        <w:t xml:space="preserve"> </w:t>
      </w:r>
      <w:r>
        <w:t xml:space="preserve">Cualquier solicitud de restauración operativa se canaliza al Responsable del Sistema, indicando:</w:t>
      </w:r>
    </w:p>
    <w:p>
      <w:pPr>
        <w:numPr>
          <w:ilvl w:val="0"/>
          <w:numId w:val="1011"/>
        </w:numPr>
        <w:pStyle w:val="Compact"/>
      </w:pPr>
      <w:r>
        <w:t xml:space="preserve">Conjunto de datos a restaurar.</w:t>
      </w:r>
    </w:p>
    <w:p>
      <w:pPr>
        <w:numPr>
          <w:ilvl w:val="0"/>
          <w:numId w:val="1011"/>
        </w:numPr>
        <w:pStyle w:val="Compact"/>
      </w:pPr>
      <w:r>
        <w:t xml:space="preserve">Punto en el tiempo deseado.</w:t>
      </w:r>
    </w:p>
    <w:p>
      <w:pPr>
        <w:numPr>
          <w:ilvl w:val="0"/>
          <w:numId w:val="1011"/>
        </w:numPr>
        <w:pStyle w:val="Compact"/>
      </w:pPr>
      <w:r>
        <w:t xml:space="preserve">Justificación de la solicitud.</w:t>
      </w:r>
    </w:p>
    <w:p>
      <w:pPr>
        <w:numPr>
          <w:ilvl w:val="0"/>
          <w:numId w:val="1011"/>
        </w:numPr>
        <w:pStyle w:val="Compact"/>
      </w:pPr>
      <w:r>
        <w:t xml:space="preserve">Impacto previsto de no realizarla.</w:t>
      </w:r>
    </w:p>
    <w:bookmarkEnd w:id="39"/>
    <w:bookmarkStart w:id="40" w:name="autorización"/>
    <w:p>
      <w:pPr>
        <w:pStyle w:val="Heading3"/>
      </w:pPr>
      <w:r>
        <w:t xml:space="preserve">8.2 Autorización</w:t>
      </w:r>
    </w:p>
    <w:p>
      <w:pPr>
        <w:pStyle w:val="FirstParagraph"/>
      </w:pPr>
      <w:r>
        <w:rPr>
          <w:bCs/>
          <w:b/>
        </w:rPr>
        <w:t xml:space="preserve">Paso 20.</w:t>
      </w:r>
      <w:r>
        <w:t xml:space="preserve"> </w:t>
      </w:r>
      <w:r>
        <w:t xml:space="preserve">La restauración será autorizada por:</w:t>
      </w:r>
    </w:p>
    <w:p>
      <w:pPr>
        <w:numPr>
          <w:ilvl w:val="0"/>
          <w:numId w:val="1012"/>
        </w:numPr>
        <w:pStyle w:val="Compact"/>
      </w:pPr>
      <w:r>
        <w:t xml:space="preserve">Restauraciones rutinarias (recuperación de fichero individual): Responsable del Sistema.</w:t>
      </w:r>
    </w:p>
    <w:p>
      <w:pPr>
        <w:numPr>
          <w:ilvl w:val="0"/>
          <w:numId w:val="1012"/>
        </w:numPr>
        <w:pStyle w:val="Compact"/>
      </w:pPr>
      <w:r>
        <w:t xml:space="preserve">Restauraciones de base de datos completa: Responsable de la Seguridad.</w:t>
      </w:r>
    </w:p>
    <w:p>
      <w:pPr>
        <w:numPr>
          <w:ilvl w:val="0"/>
          <w:numId w:val="1012"/>
        </w:numPr>
        <w:pStyle w:val="Compact"/>
      </w:pPr>
      <w:r>
        <w:t xml:space="preserve">Restauraciones tras incidente grave: Coordinador del ERI conforme al procedimiento {{ proyecto.codigo_documento_base }}-204.</w:t>
      </w:r>
    </w:p>
    <w:bookmarkEnd w:id="40"/>
    <w:bookmarkStart w:id="41" w:name="ejecución"/>
    <w:p>
      <w:pPr>
        <w:pStyle w:val="Heading3"/>
      </w:pPr>
      <w:r>
        <w:t xml:space="preserve">8.3 Ejecución</w:t>
      </w:r>
    </w:p>
    <w:p>
      <w:pPr>
        <w:pStyle w:val="FirstParagraph"/>
      </w:pPr>
      <w:r>
        <w:rPr>
          <w:bCs/>
          <w:b/>
        </w:rPr>
        <w:t xml:space="preserve">Paso 21.</w:t>
      </w:r>
      <w:r>
        <w:t xml:space="preserve"> </w:t>
      </w:r>
      <w:r>
        <w:t xml:space="preserve">La restauración se ejecuta conforme a la guía técnica correspondiente (instrucciones técnicas IT-210-XX), documentando todas las acciones.</w:t>
      </w:r>
    </w:p>
    <w:p>
      <w:pPr>
        <w:pStyle w:val="BodyText"/>
      </w:pPr>
      <w:r>
        <w:rPr>
          <w:bCs/>
          <w:b/>
        </w:rPr>
        <w:t xml:space="preserve">Paso 22.</w:t>
      </w:r>
      <w:r>
        <w:t xml:space="preserve"> </w:t>
      </w:r>
      <w:r>
        <w:t xml:space="preserve">Tras la restauración, se verifica la integridad y se notifica al solicitante.</w:t>
      </w:r>
    </w:p>
    <w:bookmarkEnd w:id="41"/>
    <w:bookmarkStart w:id="42" w:name="registro"/>
    <w:p>
      <w:pPr>
        <w:pStyle w:val="Heading3"/>
      </w:pPr>
      <w:r>
        <w:t xml:space="preserve">8.4 Registro</w:t>
      </w:r>
    </w:p>
    <w:p>
      <w:pPr>
        <w:pStyle w:val="FirstParagraph"/>
      </w:pPr>
      <w:r>
        <w:rPr>
          <w:bCs/>
          <w:b/>
        </w:rPr>
        <w:t xml:space="preserve">Paso 23.</w:t>
      </w:r>
      <w:r>
        <w:t xml:space="preserve"> </w:t>
      </w:r>
      <w:r>
        <w:t xml:space="preserve">Toda restauración operativa se registra en el sistema con identificador único, persona solicitante, autorizador, ejecutor, conjunto de datos restaurado y resultado.</w:t>
      </w:r>
    </w:p>
    <w:bookmarkEnd w:id="42"/>
    <w:bookmarkEnd w:id="43"/>
    <w:bookmarkStart w:id="44" w:name="indicadores"/>
    <w:p>
      <w:pPr>
        <w:pStyle w:val="Heading2"/>
      </w:pPr>
      <w:r>
        <w:t xml:space="preserve">9. INDICADORES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éxito de copias programadas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≥ 99%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Tasa de éxito de pruebas de restauración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RTO real / RTO objetivo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 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Antigüedad media de la última prueba de restauración por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periodicidad mínima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Conjuntos de datos sin copia offsite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Conjuntos de datos críticos sin copia inmutable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End w:id="44"/>
    <w:bookmarkStart w:id="45" w:name="anexos"/>
    <w:p>
      <w:pPr>
        <w:pStyle w:val="Heading2"/>
      </w:pPr>
      <w:r>
        <w:t xml:space="preserve">10. ANEXOS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I:</w:t>
      </w:r>
      <w:r>
        <w:t xml:space="preserve"> </w:t>
      </w:r>
      <w:r>
        <w:t xml:space="preserve">Inventario de conjuntos de datos y matriz de copia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II:</w:t>
      </w:r>
      <w:r>
        <w:t xml:space="preserve"> </w:t>
      </w:r>
      <w:r>
        <w:t xml:space="preserve">Plantilla del Informe de Prueba de Restauración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III:</w:t>
      </w:r>
      <w:r>
        <w:t xml:space="preserve"> </w:t>
      </w:r>
      <w:r>
        <w:t xml:space="preserve">Calendario anual de pruebas de restauración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Anexo IV:</w:t>
      </w:r>
      <w:r>
        <w:t xml:space="preserve"> </w:t>
      </w:r>
      <w:r>
        <w:t xml:space="preserve">Instrucciones técnicas de restauración por sistema (IT-210-XX)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Documento {{ proyecto.codigo_documento_base }}-210 — Versión {{ proyecto.version_actual }} — Clasificación: INTERNA</w:t>
      </w:r>
    </w:p>
    <w:bookmarkEnd w:id="45"/>
    <w:bookmarkEnd w:id="46"/>
    <w:p/>
    <w:p>
      <w:r>
        <w:rPr>
          <w:b/>
          <w:color w:val="0B1F3A"/>
          <w:sz w:val="24"/>
        </w:rPr>
        <w:t>APROBACIONES Y FIRMAS</w:t>
      </w:r>
    </w:p>
    <w:p>
      <w:r>
        <w:rPr>
          <w:b w:val="0"/>
          <w:color w:val="0B1F3A"/>
          <w:sz w:val="20"/>
        </w:rPr>
        <w:t>El presente documento se aprueba mediante las firmas de los intervinientes que se relacionan a continuación. Cuando la firma se realiza digitalmente a través del portal del proyecto, el hash SHA-256 y el código QR de verificación se consignan bajo el nombre del firmante.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ELABORADO POR</w:t>
            </w:r>
          </w:p>
        </w:tc>
        <w:tc>
          <w:tcPr>
            <w:tcW w:type="dxa" w:w="4680"/>
          </w:tcPr>
          <w:p>
            <w:pPr>
              <w:jc w:val="center"/>
            </w:pPr>
            <w:r>
              <w:rPr>
                <w:b/>
                <w:color w:val="0B1F3A"/>
                <w:sz w:val="20"/>
              </w:rPr>
              <w:t>APROBADO POR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firmas.elaborado.nombre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Nombre: </w:t>
            </w:r>
            <w:r>
              <w:rPr>
                <w:b w:val="0"/>
                <w:color w:val="0B1F3A"/>
                <w:sz w:val="20"/>
              </w:rPr>
              <w:t>{{ firmas.revisado.nombre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firmas.elaborado.cargo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Cargo: </w:t>
            </w:r>
            <w:r>
              <w:rPr>
                <w:b w:val="0"/>
                <w:color w:val="0B1F3A"/>
                <w:sz w:val="20"/>
              </w:rPr>
              <w:t>{{ firmas.revisado.cargo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firmas.elaborado.fecha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Fecha: </w:t>
            </w:r>
            <w:r>
              <w:rPr>
                <w:b w:val="0"/>
                <w:color w:val="0B1F3A"/>
                <w:sz w:val="20"/>
              </w:rPr>
              <w:t>{{ firmas.revisado.fecha }}</w:t>
            </w:r>
          </w:p>
        </w:tc>
      </w:tr>
      <w:tr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firmas.elaborado.firma_marca }}</w:t>
            </w:r>
          </w:p>
        </w:tc>
        <w:tc>
          <w:tcPr>
            <w:tcW w:type="dxa" w:w="4680"/>
          </w:tcPr>
          <w:p>
            <w:r>
              <w:rPr>
                <w:b/>
                <w:color w:val="6B7280"/>
                <w:sz w:val="18"/>
              </w:rPr>
              <w:t xml:space="preserve">Firma: </w:t>
            </w:r>
            <w:r>
              <w:rPr>
                <w:b w:val="0"/>
                <w:color w:val="0B1F3A"/>
                <w:sz w:val="20"/>
              </w:rPr>
              <w:t>{{ firmas.revisado.firma_marca }}</w:t>
            </w:r>
          </w:p>
        </w:tc>
      </w:tr>
    </w:tbl>
    <w:p>
      <w:r>
        <w:rPr>
          <w:sz w:val="2"/>
        </w:rPr>
        <w:t>&lt;!--FX_SIG_V2--&gt;</w:t>
      </w:r>
    </w:p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810"/>
        </w:tcPr>
        <w:p>
          <w:pPr>
            <w:jc w:val="left"/>
          </w:pPr>
          <w:r>
            <w:rPr>
              <w:b w:val="0"/>
              <w:color w:val="6B7280"/>
              <w:sz w:val="16"/>
            </w:rPr>
            <w:t>CONFIDENCIAL — {{ cliente.razon_social }}</w:t>
          </w:r>
        </w:p>
      </w:tc>
      <w:tc>
        <w:tcPr>
          <w:tcW w:type="dxa" w:w="2540"/>
        </w:tcPr>
        <w:p>
          <w:pPr>
            <w:jc w:val="center"/>
          </w:pPr>
          <w:r>
            <w:rPr>
              <w:b w:val="0"/>
              <w:color w:val="6B7280"/>
              <w:sz w:val="16"/>
            </w:rPr>
            <w:t>E-207 · v{{ proyecto.version_actual }}</w:t>
          </w:r>
        </w:p>
      </w:tc>
      <w:tc>
        <w:tcPr>
          <w:tcW w:type="dxa" w:w="2721"/>
        </w:tcPr>
        <w:p>
          <w:pPr>
            <w:jc w:val="right"/>
          </w:pPr>
          <w:r>
            <w:rPr>
              <w:b w:val="0"/>
              <w:color w:val="6B7280"/>
              <w:sz w:val="16"/>
            </w:rPr>
            <w:t xml:space="preserve">Página </w:t>
          </w:r>
          <w:r>
            <w:rPr>
              <w:b w:val="0"/>
              <w:color w:val="6B7280"/>
              <w:sz w:val="16"/>
            </w:rPr>
            <w:fldChar w:fldCharType="begin"/>
            <w:instrText xml:space="preserve">PAGE</w:instrText>
            <w:fldChar w:fldCharType="end"/>
          </w:r>
          <w:r>
            <w:rPr>
              <w:b w:val="0"/>
              <w:color w:val="6B7280"/>
              <w:sz w:val="16"/>
            </w:rPr>
            <w:t xml:space="preserve"> / </w:t>
          </w:r>
          <w:r>
            <w:rPr>
              <w:b w:val="0"/>
              <w:color w:val="6B7280"/>
              <w:sz w:val="16"/>
            </w:rPr>
            <w:fldChar w:fldCharType="begin"/>
            <w:instrText xml:space="preserve">NUMPAGES</w:instrText>
            <w:fldChar w:fldCharType="end"/>
          </w:r>
        </w:p>
      </w:tc>
    </w:tr>
  </w:tbl>
  <w:p>
    <w:r>
      <w:rPr>
        <w:sz w:val="2"/>
      </w:rPr>
      <w:t>&lt;!--FX_FTR_V2--&gt;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3024"/>
      <w:gridCol w:w="3024"/>
      <w:gridCol w:w="3024"/>
    </w:tblGrid>
    <w:tr>
      <w:tc>
        <w:tcPr>
          <w:tcW w:type="dxa" w:w="3447"/>
        </w:tcPr>
        <w:p>
          <w:pPr>
            <w:jc w:val="left"/>
          </w:pPr>
          <w:r>
            <w:rPr>
              <w:b/>
              <w:color w:val="0B1F3A"/>
              <w:sz w:val="22"/>
            </w:rPr>
            <w:t>{{ cliente.header_brand }}</w:t>
          </w:r>
        </w:p>
      </w:tc>
      <w:tc>
        <w:tcPr>
          <w:tcW w:type="dxa" w:w="3084"/>
        </w:tcPr>
        <w:p>
          <w:pPr>
            <w:jc w:val="center"/>
          </w:pPr>
          <w:r>
            <w:rPr>
              <w:b w:val="0"/>
              <w:color w:val="6B7280"/>
              <w:sz w:val="18"/>
            </w:rPr>
            <w:t>E-207 · PROCEDIMIENTO DE COPIAS DE SEGURIDAD Y RESTAURACIÓN</w:t>
            <w:br/>
            <w:t>versión {{ proyecto.version_actual }}</w:t>
          </w:r>
        </w:p>
      </w:tc>
      <w:tc>
        <w:tcPr>
          <w:tcW w:type="dxa" w:w="2540"/>
        </w:tcPr>
        <w:p>
          <w:pPr>
            <w:jc w:val="right"/>
          </w:pPr>
          <w:r>
            <w:rPr>
              <w:b w:val="0"/>
              <w:color w:val="0B1F3A"/>
              <w:sz w:val="18"/>
            </w:rPr>
            <w:t>{{ consultor.header_brand }}</w:t>
          </w:r>
        </w:p>
      </w:tc>
    </w:tr>
  </w:tbl>
  <w:p>
    <w:r>
      <w:rPr>
        <w:sz w:val="2"/>
      </w:rPr>
      <w:t>&lt;!--FX_HDR_V2--&gt;</w:t>
    </w:r>
  </w:p>
</w:hdr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2026-04-14T18:00:39Z</dcterms:created>
  <dcterms:modified xsi:type="dcterms:W3CDTF">2026-04-14T18:00:39Z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ificacion">
    <vt:lpwstr>INTERNA</vt:lpwstr>
  </property>
  <property fmtid="{D5CDD505-2E9C-101B-9397-08002B2CF9AE}" pid="3" name="codigo_documento">
    <vt:lpwstr>{{ proyecto.codigo_documento_base }}-210</vt:lpwstr>
  </property>
  <property fmtid="{D5CDD505-2E9C-101B-9397-08002B2CF9AE}" pid="4" name="fecha_aprobacion">
    <vt:lpwstr>{{ proyecto.fecha_aprobacion_inicial }}</vt:lpwstr>
  </property>
  <property fmtid="{D5CDD505-2E9C-101B-9397-08002B2CF9AE}" pid="5" name="fecha_proxima_revision">
    <vt:lpwstr>{{ proyecto.proxima_revision }}</vt:lpwstr>
  </property>
  <property fmtid="{D5CDD505-2E9C-101B-9397-08002B2CF9AE}" pid="6" name="politica_madre">
    <vt:lpwstr>{{ proyecto.codigo_documento_base }}-104</vt:lpwstr>
  </property>
  <property fmtid="{D5CDD505-2E9C-101B-9397-08002B2CF9AE}" pid="7" name="propietario">
    <vt:lpwstr>{{ responsables.responsable_seguridad.cargo }}</vt:lpwstr>
  </property>
  <property fmtid="{D5CDD505-2E9C-101B-9397-08002B2CF9AE}" pid="8" name="titulo">
    <vt:lpwstr>Procedimiento de Copias de Seguridad y Restauración</vt:lpwstr>
  </property>
  <property fmtid="{D5CDD505-2E9C-101B-9397-08002B2CF9AE}" pid="9" name="version">
    <vt:lpwstr>{{ proyecto.version_actual }}</vt:lpwstr>
  </property>
</Properties>
</file>