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dc5b40b082a2cf5d3da0dc50f46b36b23963d41"/>
    <w:p>
      <w:pPr>
        <w:pStyle w:val="Heading1"/>
      </w:pPr>
      <w:r>
        <w:t xml:space="preserve">PROCEDIMIENTO DE RESPUESTA A BRECHAS DE DATOS PERSONALES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}}-212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Detallar las acciones operativas desde la detección de una brecha de seguridad que afecta a datos personales hasta su notificación a la AEPD y, cuando proceda, la comunicación a los interesados, en desarrollo de la Política E-119 y en coordinación con el procedimiento de gestión de incidentes E-204.</w:t>
      </w:r>
    </w:p>
    <w:bookmarkEnd w:id="20"/>
    <w:bookmarkStart w:id="27" w:name="flujo-operativo"/>
    <w:p>
      <w:pPr>
        <w:pStyle w:val="Heading2"/>
      </w:pPr>
      <w:r>
        <w:t xml:space="preserve">2. FLUJO OPERATIVO</w:t>
      </w:r>
    </w:p>
    <w:bookmarkStart w:id="21" w:name="X934a42ecda801f240c3206a506e1740261acd2d"/>
    <w:p>
      <w:pPr>
        <w:pStyle w:val="Heading3"/>
      </w:pPr>
      <w:r>
        <w:t xml:space="preserve">Fase 1 — Detección y escalado (T+0 a T+2 horas)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Detección del incidente (vía E-204) que potencialmente afecta a datos personales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Cualquier persona / SIEM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Resp. Seguridad activa al DPO inmediatamente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DPO valora si el incidente constituye una brecha de datos personales conforme al art. 4.12 RGPD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DPO</w:t>
            </w:r>
          </w:p>
        </w:tc>
      </w:tr>
    </w:tbl>
    <w:bookmarkEnd w:id="21"/>
    <w:bookmarkStart w:id="22" w:name="X2ba9d7cf933d45801f7fbcce11a21e8f911586a"/>
    <w:p>
      <w:pPr>
        <w:pStyle w:val="Heading3"/>
      </w:pPr>
      <w:r>
        <w:t xml:space="preserve">Fase 2 — Valoración del riesgo (T+2 a T+12 horas)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Determinar: tipo de brecha (confidencialidad/integridad/disponibilidad), categorías de datos afectados, nº de interesados, volumen de registros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DPO + Resp.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Evaluar nivel de riesgo para los derechos y libertades con los 6 criterios de E-119 §3.2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Documentar la valoración en el</w:t>
            </w:r>
            <w:r>
              <w:t xml:space="preserve"> </w:t>
            </w:r>
            <w:r>
              <w:rPr>
                <w:bCs/>
                <w:b/>
              </w:rPr>
              <w:t xml:space="preserve">Formulario de Valoración de Brecha</w:t>
            </w:r>
            <w:r>
              <w:t xml:space="preserve"> </w:t>
            </w:r>
            <w:r>
              <w:t xml:space="preserve">(Anexo 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DPO</w:t>
            </w:r>
          </w:p>
        </w:tc>
      </w:tr>
    </w:tbl>
    <w:bookmarkEnd w:id="22"/>
    <w:bookmarkStart w:id="23" w:name="Xd0dfcf5d4f3939ffbaa4725da071a74d34c8698"/>
    <w:p>
      <w:pPr>
        <w:pStyle w:val="Heading3"/>
      </w:pPr>
      <w:r>
        <w:t xml:space="preserve">Fase 3 — Decisión de notificación (T+12 a T+24 horas)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riesgo = sin riesgo → registrar en el Registro de Brechas sin notificar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riesgo = bajo/medio/alto →</w:t>
            </w:r>
            <w:r>
              <w:t xml:space="preserve"> </w:t>
            </w:r>
            <w:r>
              <w:rPr>
                <w:bCs/>
                <w:b/>
              </w:rPr>
              <w:t xml:space="preserve">notificar a la AEPD</w:t>
            </w:r>
            <w:r>
              <w:t xml:space="preserve"> </w:t>
            </w:r>
            <w:r>
              <w:t xml:space="preserve">(seguir Fase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riesgo = alto → adicionalmente</w:t>
            </w:r>
            <w:r>
              <w:t xml:space="preserve"> </w:t>
            </w:r>
            <w:r>
              <w:rPr>
                <w:bCs/>
                <w:b/>
              </w:rPr>
              <w:t xml:space="preserve">comunicar a los interesados</w:t>
            </w:r>
            <w:r>
              <w:t xml:space="preserve"> </w:t>
            </w:r>
            <w:r>
              <w:t xml:space="preserve">(seguir Fase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DPO</w:t>
            </w:r>
          </w:p>
        </w:tc>
      </w:tr>
    </w:tbl>
    <w:bookmarkEnd w:id="23"/>
    <w:bookmarkStart w:id="24" w:name="X8f856555aea07eaf197abd7a07ea96c32cc1259"/>
    <w:p>
      <w:pPr>
        <w:pStyle w:val="Heading3"/>
      </w:pPr>
      <w:r>
        <w:t xml:space="preserve">Fase 4 — Notificación a la AEPD (≤ 72 horas desde conocimiento)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Acceder a la sede electrónica de la AEPD: https://sedeaepd.gob.es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Cumplimentar el</w:t>
            </w:r>
            <w:r>
              <w:t xml:space="preserve"> </w:t>
            </w:r>
            <w:r>
              <w:rPr>
                <w:bCs/>
                <w:b/>
              </w:rPr>
              <w:t xml:space="preserve">formulario de notificación de brechas</w:t>
            </w:r>
            <w:r>
              <w:t xml:space="preserve"> </w:t>
            </w:r>
            <w:r>
              <w:t xml:space="preserve">con: naturaleza, categorías y nº de interesados, datos contacto DPO, consecuencias probables, medidas adoptadas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la notificación no puede completarse en 72h: enviar notificación parcial con motivos del retraso y completar después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Conservar el acuse de recibo de la notificación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Mantener a la AEPD informada de la evolución si se solicita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DPO</w:t>
            </w:r>
          </w:p>
        </w:tc>
      </w:tr>
    </w:tbl>
    <w:bookmarkEnd w:id="24"/>
    <w:bookmarkStart w:id="25" w:name="X30af33193eabf2a6820e3f5e7a271c55ac65a37"/>
    <w:p>
      <w:pPr>
        <w:pStyle w:val="Heading3"/>
      </w:pPr>
      <w:r>
        <w:t xml:space="preserve">Fase 5 — Comunicación a los interesados (sin dilación si riesgo alto)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Redactar la comunicación en lenguaje claro y sencillo conforme a E-119 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DPO + Comunicación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 de comunicación: email directo cuando se disponga del email del interesado; publicación en web corporativa cuando no sea posible la comunicación individual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Documentar los envíos realizados y los acuses de recibo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DPO</w:t>
            </w:r>
          </w:p>
        </w:tc>
      </w:tr>
    </w:tbl>
    <w:bookmarkEnd w:id="25"/>
    <w:bookmarkStart w:id="26" w:name="fase-6-registro-y-cierre"/>
    <w:p>
      <w:pPr>
        <w:pStyle w:val="Heading3"/>
      </w:pPr>
      <w:r>
        <w:t xml:space="preserve">Fase 6 — Registro y cierre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la brecha completa en el</w:t>
            </w:r>
            <w:r>
              <w:t xml:space="preserve"> </w:t>
            </w:r>
            <w:r>
              <w:rPr>
                <w:bCs/>
                <w:b/>
              </w:rPr>
              <w:t xml:space="preserve">Registro de Brechas de Datos Personales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Integrar las lecciones aprendidas en el informe post-incidente de E-204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 + DPO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la brecha revela deficiencias en los controles: abrir acción correctiva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</w:tr>
    </w:tbl>
    <w:bookmarkEnd w:id="26"/>
    <w:bookmarkEnd w:id="27"/>
    <w:bookmarkStart w:id="28" w:name="indicadores"/>
    <w:p>
      <w:pPr>
        <w:pStyle w:val="Heading2"/>
      </w:pPr>
      <w:r>
        <w:t xml:space="preserve">3. INDICADORES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Notificaciones a la AEPD dentro del plazo de 72h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Brechas registradas en el 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Comunicaciones a interesados realizadas sin dilación (riesgo alto)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{{ proyecto.codigo_documento_base }}-212 — Versión {{ proyecto.version_actual }} — Clasificación: INTERNA</w:t>
      </w:r>
    </w:p>
    <w:bookmarkEnd w:id="28"/>
    <w:bookmarkEnd w:id="29"/>
    <w:p/>
    <w:p>
      <w:r>
        <w:rPr>
          <w:b/>
          <w:color w:val="0B1F3A"/>
          <w:sz w:val="24"/>
        </w:rPr>
        <w:t>APROBACIONES Y FIRMAS</w:t>
      </w:r>
    </w:p>
    <w:p>
      <w:r>
        <w:rPr>
          <w:b w:val="0"/>
          <w:color w:val="0B1F3A"/>
          <w:sz w:val="20"/>
        </w:rPr>
        <w:t>El presente documento se aprueba mediante las firmas de los intervinientes que se relacionan a continuación. Cuando la firma se realiza digitalmente a través del portal del proyecto, el hash SHA-256 y el código QR de verificación se consignan bajo el nombre del firmante.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ELABORADO POR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APROBADO POR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firmas.elaborado.nombre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firmas.revisado.nombre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firmas.elaborado.cargo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firmas.revisado.cargo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firmas.elaborado.fecha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firmas.revisado.fecha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firmas.elaborado.firma_marca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firmas.revisado.firma_marca }}</w:t>
            </w:r>
          </w:p>
        </w:tc>
      </w:tr>
    </w:tbl>
    <w:p>
      <w:r>
        <w:rPr>
          <w:sz w:val="2"/>
        </w:rPr>
        <w:t>&lt;!--FX_SIG_V2--&gt;</w:t>
      </w:r>
    </w:p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E-212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E-212 · PROCEDIMIENTO DE RESPUESTA A BRECHAS RGPD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2026-04-14T18:00:39Z</dcterms:created>
  <dcterms:modified xsi:type="dcterms:W3CDTF">2026-04-14T18:00:39Z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{{ proyecto.codigo_documento_base }}-212</vt:lpwstr>
  </property>
  <property fmtid="{D5CDD505-2E9C-101B-9397-08002B2CF9AE}" pid="4" name="politica_madre">
    <vt:lpwstr>{{ proyecto.codigo_documento_base }}-119</vt:lpwstr>
  </property>
  <property fmtid="{D5CDD505-2E9C-101B-9397-08002B2CF9AE}" pid="5" name="titulo">
    <vt:lpwstr>Procedimiento de Respuesta a Brechas de Datos Personales</vt:lpwstr>
  </property>
  <property fmtid="{D5CDD505-2E9C-101B-9397-08002B2CF9AE}" pid="6" name="version">
    <vt:lpwstr>{{ proyecto.version_actual }}</vt:lpwstr>
  </property>
</Properties>
</file>