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66a14bf32d344dd5997ff1211f9c42eae1702f3"/>
    <w:p>
      <w:pPr>
        <w:pStyle w:val="Heading1"/>
      </w:pPr>
      <w:r>
        <w:t xml:space="preserve">PROCEDIMIENTO DE GESTIÓN DE SOPORTES EXTRAÍBLES DE {{ cliente.razon_social | upper }}</w:t>
      </w:r>
    </w:p>
    <w:p>
      <w:pPr>
        <w:pStyle w:val="FirstParagraph"/>
      </w:pPr>
      <w:r>
        <w:rPr>
          <w:bCs/>
          <w:b/>
        </w:rPr>
        <w:t xml:space="preserve">Documento {{ proyecto.codigo_documento_base }}-215 — Versión {{ proyecto.version_actual }}</w:t>
      </w:r>
    </w:p>
    <w:p>
      <w:r>
        <w:pict>
          <v:rect style="width:0;height:1.5pt" o:hralign="center" o:hrstd="t" o:hr="t"/>
        </w:pict>
      </w:r>
    </w:p>
    <w:bookmarkStart w:id="20" w:name="objeto"/>
    <w:p>
      <w:pPr>
        <w:pStyle w:val="Heading2"/>
      </w:pPr>
      <w:r>
        <w:t xml:space="preserve">1. OBJETO</w:t>
      </w:r>
    </w:p>
    <w:p>
      <w:pPr>
        <w:pStyle w:val="FirstParagraph"/>
      </w:pPr>
      <w:r>
        <w:t xml:space="preserve">Regular el uso, inventario, cifrado, transporte y destrucción de soportes extraíbles (USB, discos externos, cintas, ópticos) que contengan información del alcance del SGSI.</w:t>
      </w:r>
    </w:p>
    <w:bookmarkEnd w:id="20"/>
    <w:bookmarkStart w:id="21" w:name="autorización"/>
    <w:p>
      <w:pPr>
        <w:pStyle w:val="Heading2"/>
      </w:pPr>
      <w:r>
        <w:t xml:space="preserve">2. AUTORIZACIÓN</w:t>
      </w:r>
    </w:p>
    <w:p>
      <w:pPr>
        <w:pStyle w:val="FirstParagraph"/>
      </w:pPr>
      <w:r>
        <w:t xml:space="preserve">El uso de soportes extraíbles para almacenar información CONFIDENCIAL o superior requiere</w:t>
      </w:r>
      <w:r>
        <w:t xml:space="preserve"> </w:t>
      </w:r>
      <w:r>
        <w:rPr>
          <w:bCs/>
          <w:b/>
        </w:rPr>
        <w:t xml:space="preserve">autorización previa del Responsable de la Seguridad</w:t>
      </w:r>
      <w:r>
        <w:t xml:space="preserve">. La conexión de dispositivos USB no autorizados a equipos corporativos podrá ser bloqueada técnicamente mediante políticas de endpoint.</w:t>
      </w:r>
    </w:p>
    <w:bookmarkEnd w:id="21"/>
    <w:bookmarkStart w:id="22" w:name="flujo-operativo"/>
    <w:p>
      <w:pPr>
        <w:pStyle w:val="Heading2"/>
      </w:pPr>
      <w:r>
        <w:t xml:space="preserve">3. FLUJO OPERATIVO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Solicitud de uso de soporte extraíble con justificación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Autorización y asignación de soporte corporativo cifrado del inventario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Seguridad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del soporte en el inventario: tipo, S/N, custodio, clasificación máxima autorizada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Sistema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Etiquetado conforme al nivel de clasificación ({{ proyecto.codigo_documento_base }}-104)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Uso: cifrado obligatorio si CONFIDENCIAL+ ({{ proyecto.codigo_documento_base }}-107), almacenamiento en lugar seguro cuando no esté en 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Transporte fuera de las instalaciones: conforme a {{ proyecto.codigo_documento_base }}-122 §6, registro de salida en {{ proyecto.codigo_documento_base }}-123 §9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Devolución al final de la necesidad: borrado seguro y vuelta al inventario, o destrucción si fin de vida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Custodio → Resp. Sistema</w:t>
            </w:r>
          </w:p>
        </w:tc>
      </w:tr>
    </w:tbl>
    <w:bookmarkEnd w:id="22"/>
    <w:bookmarkStart w:id="23" w:name="indicadores"/>
    <w:p>
      <w:pPr>
        <w:pStyle w:val="Heading2"/>
      </w:pPr>
      <w:r>
        <w:t xml:space="preserve">4. INDICADORES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Soportes extraíbles inventariados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Soportes con información CONFIDENCIAL+ cifrados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p/>
    <w:p>
      <w:r>
        <w:rPr>
          <w:b/>
          <w:color w:val="0B1F3A"/>
          <w:sz w:val="24"/>
        </w:rPr>
        <w:t>APROBACIONES Y FIRMAS</w:t>
      </w:r>
    </w:p>
    <w:p>
      <w:r>
        <w:rPr>
          <w:b w:val="0"/>
          <w:color w:val="0B1F3A"/>
          <w:sz w:val="20"/>
        </w:rPr>
        <w:t>El presente documento se aprueba mediante las firmas de los intervinientes que se relacionan a continuación. Cuando la firma se realiza digitalmente a través del portal del proyecto, el hash SHA-256 y el código QR de verificación se consignan bajo el nombre del firmante.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>
              <w:rPr>
                <w:b/>
                <w:color w:val="0B1F3A"/>
                <w:sz w:val="20"/>
              </w:rPr>
              <w:t>ELABORADO POR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b/>
                <w:color w:val="0B1F3A"/>
                <w:sz w:val="20"/>
              </w:rPr>
              <w:t>APROBADO POR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Nombre: </w:t>
            </w:r>
            <w:r>
              <w:rPr>
                <w:b w:val="0"/>
                <w:color w:val="0B1F3A"/>
                <w:sz w:val="20"/>
              </w:rPr>
              <w:t>{{ firmas.elaborado.nombre }}</w:t>
            </w:r>
          </w:p>
        </w:tc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Nombre: </w:t>
            </w:r>
            <w:r>
              <w:rPr>
                <w:b w:val="0"/>
                <w:color w:val="0B1F3A"/>
                <w:sz w:val="20"/>
              </w:rPr>
              <w:t>{{ firmas.revisado.nombre }}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Cargo: </w:t>
            </w:r>
            <w:r>
              <w:rPr>
                <w:b w:val="0"/>
                <w:color w:val="0B1F3A"/>
                <w:sz w:val="20"/>
              </w:rPr>
              <w:t>{{ firmas.elaborado.cargo }}</w:t>
            </w:r>
          </w:p>
        </w:tc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Cargo: </w:t>
            </w:r>
            <w:r>
              <w:rPr>
                <w:b w:val="0"/>
                <w:color w:val="0B1F3A"/>
                <w:sz w:val="20"/>
              </w:rPr>
              <w:t>{{ firmas.revisado.cargo }}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Fecha: </w:t>
            </w:r>
            <w:r>
              <w:rPr>
                <w:b w:val="0"/>
                <w:color w:val="0B1F3A"/>
                <w:sz w:val="20"/>
              </w:rPr>
              <w:t>{{ firmas.elaborado.fecha }}</w:t>
            </w:r>
          </w:p>
        </w:tc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Fecha: </w:t>
            </w:r>
            <w:r>
              <w:rPr>
                <w:b w:val="0"/>
                <w:color w:val="0B1F3A"/>
                <w:sz w:val="20"/>
              </w:rPr>
              <w:t>{{ firmas.revisado.fecha }}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Firma: </w:t>
            </w:r>
            <w:r>
              <w:rPr>
                <w:b w:val="0"/>
                <w:color w:val="0B1F3A"/>
                <w:sz w:val="20"/>
              </w:rPr>
              <w:t>{{ firmas.elaborado.firma_marca }}</w:t>
            </w:r>
          </w:p>
        </w:tc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Firma: </w:t>
            </w:r>
            <w:r>
              <w:rPr>
                <w:b w:val="0"/>
                <w:color w:val="0B1F3A"/>
                <w:sz w:val="20"/>
              </w:rPr>
              <w:t>{{ firmas.revisado.firma_marca }}</w:t>
            </w:r>
          </w:p>
        </w:tc>
      </w:tr>
    </w:tbl>
    <w:p>
      <w:r>
        <w:rPr>
          <w:sz w:val="2"/>
        </w:rPr>
        <w:t>&lt;!--FX_SIG_V2--&gt;</w:t>
      </w:r>
    </w:p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810"/>
        </w:tcPr>
        <w:p>
          <w:pPr>
            <w:jc w:val="left"/>
          </w:pPr>
          <w:r>
            <w:rPr>
              <w:b w:val="0"/>
              <w:color w:val="6B7280"/>
              <w:sz w:val="16"/>
            </w:rPr>
            <w:t>CONFIDENCIAL — {{ cliente.razon_social }}</w:t>
          </w:r>
        </w:p>
      </w:tc>
      <w:tc>
        <w:tcPr>
          <w:tcW w:type="dxa" w:w="2540"/>
        </w:tcPr>
        <w:p>
          <w:pPr>
            <w:jc w:val="center"/>
          </w:pPr>
          <w:r>
            <w:rPr>
              <w:b w:val="0"/>
              <w:color w:val="6B7280"/>
              <w:sz w:val="16"/>
            </w:rPr>
            <w:t>E-215 · v{{ proyecto.version_actual }}</w:t>
          </w:r>
        </w:p>
      </w:tc>
      <w:tc>
        <w:tcPr>
          <w:tcW w:type="dxa" w:w="2721"/>
        </w:tcPr>
        <w:p>
          <w:pPr>
            <w:jc w:val="right"/>
          </w:pPr>
          <w:r>
            <w:rPr>
              <w:b w:val="0"/>
              <w:color w:val="6B7280"/>
              <w:sz w:val="16"/>
            </w:rPr>
            <w:t xml:space="preserve">Página </w:t>
          </w:r>
          <w:r>
            <w:rPr>
              <w:b w:val="0"/>
              <w:color w:val="6B728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b w:val="0"/>
              <w:color w:val="6B7280"/>
              <w:sz w:val="16"/>
            </w:rPr>
            <w:t xml:space="preserve"> / </w:t>
          </w:r>
          <w:r>
            <w:rPr>
              <w:b w:val="0"/>
              <w:color w:val="6B728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  <w:p>
    <w:r>
      <w:rPr>
        <w:sz w:val="2"/>
      </w:rPr>
      <w:t>&lt;!--FX_FTR_V2--&gt;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447"/>
        </w:tcPr>
        <w:p>
          <w:pPr>
            <w:jc w:val="left"/>
          </w:pPr>
          <w:r>
            <w:rPr>
              <w:b/>
              <w:color w:val="0B1F3A"/>
              <w:sz w:val="22"/>
            </w:rPr>
            <w:t>{{ cliente.header_brand }}</w:t>
          </w:r>
        </w:p>
      </w:tc>
      <w:tc>
        <w:tcPr>
          <w:tcW w:type="dxa" w:w="3084"/>
        </w:tcPr>
        <w:p>
          <w:pPr>
            <w:jc w:val="center"/>
          </w:pPr>
          <w:r>
            <w:rPr>
              <w:b w:val="0"/>
              <w:color w:val="6B7280"/>
              <w:sz w:val="18"/>
            </w:rPr>
            <w:t>E-215 · PROCEDIMIENTO DE GESTIÓN DE SOPORTES EXTRAÍBLES</w:t>
            <w:br/>
            <w:t>versión {{ proyecto.version_actual }}</w:t>
          </w:r>
        </w:p>
      </w:tc>
      <w:tc>
        <w:tcPr>
          <w:tcW w:type="dxa" w:w="2540"/>
        </w:tcPr>
        <w:p>
          <w:pPr>
            <w:jc w:val="right"/>
          </w:pPr>
          <w:r>
            <w:rPr>
              <w:b w:val="0"/>
              <w:color w:val="0B1F3A"/>
              <w:sz w:val="18"/>
            </w:rPr>
            <w:t>{{ consultor.header_brand }}</w:t>
          </w:r>
        </w:p>
      </w:tc>
    </w:tr>
  </w:tbl>
  <w:p>
    <w:r>
      <w:rPr>
        <w:sz w:val="2"/>
      </w:rPr>
      <w:t>&lt;!--FX_HDR_V2--&gt;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2026-04-14T18:00:39Z</dcterms:created>
  <dcterms:modified xsi:type="dcterms:W3CDTF">2026-04-14T18:00:39Z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ificacion">
    <vt:lpwstr>INTERNA</vt:lpwstr>
  </property>
  <property fmtid="{D5CDD505-2E9C-101B-9397-08002B2CF9AE}" pid="3" name="codigo_documento">
    <vt:lpwstr>{{ proyecto.codigo_documento_base }}-215</vt:lpwstr>
  </property>
  <property fmtid="{D5CDD505-2E9C-101B-9397-08002B2CF9AE}" pid="4" name="politica_madre">
    <vt:lpwstr>{{ proyecto.codigo_documento_base }}-122</vt:lpwstr>
  </property>
  <property fmtid="{D5CDD505-2E9C-101B-9397-08002B2CF9AE}" pid="5" name="titulo">
    <vt:lpwstr>Procedimiento de Gestión de Soportes Extraíbles</vt:lpwstr>
  </property>
  <property fmtid="{D5CDD505-2E9C-101B-9397-08002B2CF9AE}" pid="6" name="version">
    <vt:lpwstr>{{ proyecto.version_actual }}</vt:lpwstr>
  </property>
</Properties>
</file>