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fdfc54b424a134c3b087d59265575c818d078a"/>
    <w:p>
      <w:pPr>
        <w:pStyle w:val="Heading1"/>
      </w:pPr>
      <w:r>
        <w:t xml:space="preserve">PROCEDIMIENTO DE GESTIÓN OPERATIVA DE PROVEEDORES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}}-216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flujo operativo para el registro, seguimiento, auditoría y baja de los proveedores que acceden a información o sistemas del alcance del SGSI, en desarrollo de la Política E-112 y como complemento del procedimiento de evaluación de riesgos E-217.</w:t>
      </w:r>
    </w:p>
    <w:bookmarkEnd w:id="20"/>
    <w:bookmarkStart w:id="21" w:name="registro-de-proveedores"/>
    <w:p>
      <w:pPr>
        <w:pStyle w:val="Heading2"/>
      </w:pPr>
      <w:r>
        <w:t xml:space="preserve">2. REGISTRO DE PROVEEDORES</w:t>
      </w:r>
    </w:p>
    <w:p>
      <w:pPr>
        <w:pStyle w:val="FirstParagraph"/>
      </w:pPr>
      <w:r>
        <w:t xml:space="preserve">Todo proveedor con acceso a información o sistemas del SGSI se registra en el</w:t>
      </w:r>
      <w:r>
        <w:t xml:space="preserve"> </w:t>
      </w:r>
      <w:r>
        <w:rPr>
          <w:bCs/>
          <w:b/>
        </w:rPr>
        <w:t xml:space="preserve">Registro de Proveedores</w:t>
      </w:r>
      <w:r>
        <w:t xml:space="preserve"> </w:t>
      </w:r>
      <w:r>
        <w:t xml:space="preserve">con: razón social, NIF, nivel de criticidad (CRÍTICO/ALTO/MEDIO/BAJO conforme a E-112 §3), servicios prestados, persona de contacto, fechas de contrato, certificaciones declaradas.</w:t>
      </w:r>
    </w:p>
    <w:bookmarkEnd w:id="21"/>
    <w:bookmarkStart w:id="22" w:name="seguimiento-periódico"/>
    <w:p>
      <w:pPr>
        <w:pStyle w:val="Heading2"/>
      </w:pPr>
      <w:r>
        <w:t xml:space="preserve">3. SEGUIMIENTO PERIÓDICO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reuniones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in situ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demanda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"/>
    <w:bookmarkStart w:id="23" w:name="gestión-de-incidentes-de-proveedor"/>
    <w:p>
      <w:pPr>
        <w:pStyle w:val="Heading2"/>
      </w:pPr>
      <w:r>
        <w:t xml:space="preserve">4. GESTIÓN DE INCIDENTES DE PROVEEDOR</w:t>
      </w:r>
    </w:p>
    <w:p>
      <w:pPr>
        <w:pStyle w:val="FirstParagraph"/>
      </w:pPr>
      <w:r>
        <w:t xml:space="preserve">Los incidentes notificados por proveedores se gestionan conforme a E-204, considerando al proveedor como fuente. El Resp. Seguridad evalúa el impacto sobre la continuidad y activa planes de contingencia si procede.</w:t>
      </w:r>
    </w:p>
    <w:bookmarkEnd w:id="23"/>
    <w:bookmarkStart w:id="24" w:name="baja-de-proveedor"/>
    <w:p>
      <w:pPr>
        <w:pStyle w:val="Heading2"/>
      </w:pPr>
      <w:r>
        <w:t xml:space="preserve">5. BAJA DE PROVEEDOR</w:t>
      </w:r>
    </w:p>
    <w:p>
      <w:pPr>
        <w:pStyle w:val="FirstParagraph"/>
      </w:pPr>
      <w:r>
        <w:t xml:space="preserve">Conforme a la fase 5 del procedimiento E-217: plan de salida, devolución/destrucción de información, revocación de accesos, certificado de destrucción, recordatorio de confidencialidad subsistente.</w:t>
      </w:r>
    </w:p>
    <w:bookmarkEnd w:id="24"/>
    <w:bookmarkStart w:id="25" w:name="indicadores"/>
    <w:p>
      <w:pPr>
        <w:pStyle w:val="Heading2"/>
      </w:pPr>
      <w:r>
        <w:t xml:space="preserve">6.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CRÍTICO/ALTO con cuestionario vigente (&lt;12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con incidente no resuelto &gt; 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E-216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E-216 · PROCEDIMIENTO DE GESTIÓN OPERATIVA DE PROVEEDORES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}}-216</vt:lpwstr>
  </property>
  <property fmtid="{D5CDD505-2E9C-101B-9397-08002B2CF9AE}" pid="4" name="politica_madre">
    <vt:lpwstr>{{ proyecto.codigo_documento_base }}-112</vt:lpwstr>
  </property>
  <property fmtid="{D5CDD505-2E9C-101B-9397-08002B2CF9AE}" pid="5" name="titulo">
    <vt:lpwstr>Procedimiento de Gestión Operativa de Proveedores</vt:lpwstr>
  </property>
  <property fmtid="{D5CDD505-2E9C-101B-9397-08002B2CF9AE}" pid="6" name="version">
    <vt:lpwstr>{{ proyecto.version_actual }}</vt:lpwstr>
  </property>
</Properties>
</file>