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22e6c3a0440722de603d6b558252d1c7fc1afb"/>
    <w:p>
      <w:pPr>
        <w:pStyle w:val="Heading1"/>
      </w:pPr>
      <w:r>
        <w:t xml:space="preserve">PROCEDIMIENTO DE EVALUACIÓN Y SEGUIMIENTO DE PROVEEDORES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}}-217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acciones operativas para la evaluación previa a la contratación, el seguimiento durante la relación y la salida controlada de los proveedores y terceros con acceso a información, sistemas o instalaciones de {{ cliente.razon_social }}, en desarrollo de la Política de Seguridad en las Relaciones con Proveedores ({{ proyecto.codigo_documento_base }}-107).</w:t>
      </w:r>
    </w:p>
    <w:bookmarkEnd w:id="20"/>
    <w:bookmarkStart w:id="26" w:name="Xa3d718297ea7b72296417f9470b53cfcee92468"/>
    <w:p>
      <w:pPr>
        <w:pStyle w:val="Heading2"/>
      </w:pPr>
      <w:r>
        <w:t xml:space="preserve">2. FASE 1 — EVALUACIÓN PREVIA A LA CONTRATACIÓN</w:t>
      </w:r>
    </w:p>
    <w:bookmarkStart w:id="21" w:name="cuestionario-de-seguridad"/>
    <w:p>
      <w:pPr>
        <w:pStyle w:val="Heading3"/>
      </w:pPr>
      <w:r>
        <w:t xml:space="preserve">2.1 Cuestionario de seguridad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Responsable del Servicio que solicita la contratación, con apoyo del Responsable de la Seguridad.</w:t>
      </w:r>
    </w:p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01"/>
        </w:numPr>
        <w:pStyle w:val="Compact"/>
      </w:pPr>
      <w:r>
        <w:t xml:space="preserve">Antes del inicio de cualquier negociación contractual con un proveedor de nivel</w:t>
      </w:r>
      <w:r>
        <w:t xml:space="preserve"> </w:t>
      </w:r>
      <w:r>
        <w:rPr>
          <w:bCs/>
          <w:b/>
        </w:rPr>
        <w:t xml:space="preserve">MEDIO</w:t>
      </w:r>
      <w:r>
        <w:t xml:space="preserve"> </w:t>
      </w:r>
      <w:r>
        <w:t xml:space="preserve">o superior conforme al apartado 3 de la Política {{ proyecto.codigo_documento_base }}-107, se le remitirá el</w:t>
      </w:r>
      <w:r>
        <w:t xml:space="preserve"> </w:t>
      </w:r>
      <w:r>
        <w:rPr>
          <w:bCs/>
          <w:b/>
        </w:rPr>
        <w:t xml:space="preserve">Cuestionario de Evaluación de Seguridad</w:t>
      </w:r>
      <w:r>
        <w:t xml:space="preserve"> </w:t>
      </w:r>
      <w:r>
        <w:t xml:space="preserve">del Anexo I, que contiene preguntas sobre:</w:t>
      </w:r>
    </w:p>
    <w:p>
      <w:pPr>
        <w:numPr>
          <w:ilvl w:val="0"/>
          <w:numId w:val="1002"/>
        </w:numPr>
        <w:pStyle w:val="Compact"/>
      </w:pPr>
      <w:r>
        <w:t xml:space="preserve">Certificaciones de seguridad vigentes (ISO 27001, ENS, SOC 2, etc.).</w:t>
      </w:r>
    </w:p>
    <w:p>
      <w:pPr>
        <w:numPr>
          <w:ilvl w:val="0"/>
          <w:numId w:val="1002"/>
        </w:numPr>
        <w:pStyle w:val="Compact"/>
      </w:pPr>
      <w:r>
        <w:t xml:space="preserve">Política interna de seguridad y gobierno del SGSI.</w:t>
      </w:r>
    </w:p>
    <w:p>
      <w:pPr>
        <w:numPr>
          <w:ilvl w:val="0"/>
          <w:numId w:val="1002"/>
        </w:numPr>
        <w:pStyle w:val="Compact"/>
      </w:pPr>
      <w:r>
        <w:t xml:space="preserve">Gestión de incidentes y notificación de brechas.</w:t>
      </w:r>
    </w:p>
    <w:p>
      <w:pPr>
        <w:numPr>
          <w:ilvl w:val="0"/>
          <w:numId w:val="1002"/>
        </w:numPr>
        <w:pStyle w:val="Compact"/>
      </w:pPr>
      <w:r>
        <w:t xml:space="preserve">Control de accesos y gestión de personal.</w:t>
      </w:r>
    </w:p>
    <w:p>
      <w:pPr>
        <w:numPr>
          <w:ilvl w:val="0"/>
          <w:numId w:val="1002"/>
        </w:numPr>
        <w:pStyle w:val="Compact"/>
      </w:pPr>
      <w:r>
        <w:t xml:space="preserve">Gestión de subcontratistas y cadena de suministro.</w:t>
      </w:r>
    </w:p>
    <w:p>
      <w:pPr>
        <w:numPr>
          <w:ilvl w:val="0"/>
          <w:numId w:val="1002"/>
        </w:numPr>
        <w:pStyle w:val="Compact"/>
      </w:pPr>
      <w:r>
        <w:t xml:space="preserve">Seguridad física e infraestructura.</w:t>
      </w:r>
    </w:p>
    <w:p>
      <w:pPr>
        <w:numPr>
          <w:ilvl w:val="0"/>
          <w:numId w:val="1002"/>
        </w:numPr>
        <w:pStyle w:val="Compact"/>
      </w:pPr>
      <w:r>
        <w:t xml:space="preserve">Continuidad del servicio y recuperación ante desastres.</w:t>
      </w:r>
    </w:p>
    <w:p>
      <w:pPr>
        <w:numPr>
          <w:ilvl w:val="0"/>
          <w:numId w:val="1002"/>
        </w:numPr>
        <w:pStyle w:val="Compact"/>
      </w:pPr>
      <w:r>
        <w:t xml:space="preserve">Protección de datos personales y cumplimiento del RGPD.</w:t>
      </w:r>
    </w:p>
    <w:p>
      <w:pPr>
        <w:numPr>
          <w:ilvl w:val="0"/>
          <w:numId w:val="1002"/>
        </w:numPr>
        <w:pStyle w:val="Compact"/>
      </w:pPr>
      <w:r>
        <w:t xml:space="preserve">Localización del tratamiento de datos.</w:t>
      </w:r>
    </w:p>
    <w:p>
      <w:pPr>
        <w:numPr>
          <w:ilvl w:val="0"/>
          <w:numId w:val="1002"/>
        </w:numPr>
        <w:pStyle w:val="Compact"/>
      </w:pPr>
      <w:r>
        <w:t xml:space="preserve">Mecanismos de cifrado utilizados.</w:t>
      </w:r>
    </w:p>
    <w:p>
      <w:pPr>
        <w:numPr>
          <w:ilvl w:val="0"/>
          <w:numId w:val="1003"/>
        </w:numPr>
        <w:pStyle w:val="Compact"/>
      </w:pPr>
      <w:r>
        <w:t xml:space="preserve">El proveedor dispone de</w:t>
      </w:r>
      <w:r>
        <w:t xml:space="preserve"> </w:t>
      </w:r>
      <w:r>
        <w:rPr>
          <w:bCs/>
          <w:b/>
        </w:rPr>
        <w:t xml:space="preserve">15 días naturales</w:t>
      </w:r>
      <w:r>
        <w:t xml:space="preserve"> </w:t>
      </w:r>
      <w:r>
        <w:t xml:space="preserve">para devolver el cuestionario cumplimentado y firmado.</w:t>
      </w:r>
    </w:p>
    <w:bookmarkEnd w:id="21"/>
    <w:bookmarkStart w:id="22" w:name="verificación-documental"/>
    <w:p>
      <w:pPr>
        <w:pStyle w:val="Heading3"/>
      </w:pPr>
      <w:r>
        <w:t xml:space="preserve">2.2 Verificación documental</w:t>
      </w:r>
    </w:p>
    <w:p>
      <w:pPr>
        <w:pStyle w:val="FirstParagraph"/>
      </w:pPr>
      <w:r>
        <w:rPr>
          <w:bCs/>
          <w:b/>
        </w:rPr>
        <w:t xml:space="preserve">Acciones:</w:t>
      </w:r>
    </w:p>
    <w:p>
      <w:pPr>
        <w:numPr>
          <w:ilvl w:val="0"/>
          <w:numId w:val="1004"/>
        </w:numPr>
        <w:pStyle w:val="Compact"/>
      </w:pPr>
      <w:r>
        <w:t xml:space="preserve">El Responsable de la Seguridad</w:t>
      </w:r>
      <w:r>
        <w:t xml:space="preserve"> </w:t>
      </w:r>
      <w:r>
        <w:rPr>
          <w:bCs/>
          <w:b/>
        </w:rPr>
        <w:t xml:space="preserve">verifica</w:t>
      </w:r>
      <w:r>
        <w:t xml:space="preserve"> </w:t>
      </w:r>
      <w:r>
        <w:t xml:space="preserve">la información declarada por el proveedor, en particular:</w:t>
      </w:r>
    </w:p>
    <w:p>
      <w:pPr>
        <w:numPr>
          <w:ilvl w:val="0"/>
          <w:numId w:val="1005"/>
        </w:numPr>
        <w:pStyle w:val="Compact"/>
      </w:pPr>
      <w:r>
        <w:t xml:space="preserve">Vigencia de certificaciones declaradas, mediante consulta a las páginas oficiales de los organismos certificadores (ENAC, IAF, etc.).</w:t>
      </w:r>
    </w:p>
    <w:p>
      <w:pPr>
        <w:numPr>
          <w:ilvl w:val="0"/>
          <w:numId w:val="1005"/>
        </w:numPr>
        <w:pStyle w:val="Compact"/>
      </w:pPr>
      <w:r>
        <w:t xml:space="preserve">Existencia y vigencia del registro como Encargado del Tratamiento, cuando proceda.</w:t>
      </w:r>
    </w:p>
    <w:p>
      <w:pPr>
        <w:numPr>
          <w:ilvl w:val="0"/>
          <w:numId w:val="1005"/>
        </w:numPr>
        <w:pStyle w:val="Compact"/>
      </w:pPr>
      <w:r>
        <w:t xml:space="preserve">Solvencia económica y técnica.</w:t>
      </w:r>
    </w:p>
    <w:p>
      <w:pPr>
        <w:numPr>
          <w:ilvl w:val="0"/>
          <w:numId w:val="1005"/>
        </w:numPr>
        <w:pStyle w:val="Compact"/>
      </w:pPr>
      <w:r>
        <w:t xml:space="preserve">Reputación pública del proveedor, mediante consultas a fuentes abiertas y, cuando proceda, a registros sectoriales.</w:t>
      </w:r>
    </w:p>
    <w:bookmarkEnd w:id="22"/>
    <w:bookmarkStart w:id="23" w:name="análisis-de-riesgos-específico"/>
    <w:p>
      <w:pPr>
        <w:pStyle w:val="Heading3"/>
      </w:pPr>
      <w:r>
        <w:t xml:space="preserve">2.3 Análisis de riesgos específico</w:t>
      </w:r>
    </w:p>
    <w:p>
      <w:pPr>
        <w:numPr>
          <w:ilvl w:val="0"/>
          <w:numId w:val="1006"/>
        </w:numPr>
        <w:pStyle w:val="Compact"/>
      </w:pPr>
      <w:r>
        <w:t xml:space="preserve">Se elabora un</w:t>
      </w:r>
      <w:r>
        <w:t xml:space="preserve"> </w:t>
      </w:r>
      <w:r>
        <w:rPr>
          <w:bCs/>
          <w:b/>
        </w:rPr>
        <w:t xml:space="preserve">análisis de riesgos específico</w:t>
      </w:r>
      <w:r>
        <w:t xml:space="preserve"> </w:t>
      </w:r>
      <w:r>
        <w:t xml:space="preserve">de la relación, conforme a la metodología MAGERIT v3 ({{ proyecto.codigo_documento_base }}-200), considerando:</w:t>
      </w:r>
    </w:p>
    <w:p>
      <w:pPr>
        <w:numPr>
          <w:ilvl w:val="0"/>
          <w:numId w:val="1007"/>
        </w:numPr>
        <w:pStyle w:val="Compact"/>
      </w:pPr>
      <w:r>
        <w:t xml:space="preserve">Tipo de información a la que el proveedor tendrá acceso.</w:t>
      </w:r>
    </w:p>
    <w:p>
      <w:pPr>
        <w:numPr>
          <w:ilvl w:val="0"/>
          <w:numId w:val="1007"/>
        </w:numPr>
        <w:pStyle w:val="Compact"/>
      </w:pPr>
      <w:r>
        <w:t xml:space="preserve">Volumen y sensibilidad del tratamiento.</w:t>
      </w:r>
    </w:p>
    <w:p>
      <w:pPr>
        <w:numPr>
          <w:ilvl w:val="0"/>
          <w:numId w:val="1007"/>
        </w:numPr>
        <w:pStyle w:val="Compact"/>
      </w:pPr>
      <w:r>
        <w:t xml:space="preserve">Localización del tratamiento.</w:t>
      </w:r>
    </w:p>
    <w:p>
      <w:pPr>
        <w:numPr>
          <w:ilvl w:val="0"/>
          <w:numId w:val="1007"/>
        </w:numPr>
        <w:pStyle w:val="Compact"/>
      </w:pPr>
      <w:r>
        <w:t xml:space="preserve">Cadena de subcontratación prevista.</w:t>
      </w:r>
    </w:p>
    <w:p>
      <w:pPr>
        <w:numPr>
          <w:ilvl w:val="0"/>
          <w:numId w:val="1007"/>
        </w:numPr>
        <w:pStyle w:val="Compact"/>
      </w:pPr>
      <w:r>
        <w:t xml:space="preserve">Dependencias generadas para la Entidad.</w:t>
      </w:r>
    </w:p>
    <w:bookmarkEnd w:id="23"/>
    <w:bookmarkStart w:id="24" w:name="decisión-de-contratación"/>
    <w:p>
      <w:pPr>
        <w:pStyle w:val="Heading3"/>
      </w:pPr>
      <w:r>
        <w:t xml:space="preserve">2.4 Decisión de contratación</w:t>
      </w:r>
    </w:p>
    <w:p>
      <w:pPr>
        <w:numPr>
          <w:ilvl w:val="0"/>
          <w:numId w:val="1008"/>
        </w:numPr>
      </w:pPr>
      <w:r>
        <w:t xml:space="preserve">El Responsable de la Seguridad emite un</w:t>
      </w:r>
      <w:r>
        <w:t xml:space="preserve"> </w:t>
      </w:r>
      <w:r>
        <w:rPr>
          <w:bCs/>
          <w:b/>
        </w:rPr>
        <w:t xml:space="preserve">informe de evaluación</w:t>
      </w:r>
      <w:r>
        <w:t xml:space="preserve"> </w:t>
      </w:r>
      <w:r>
        <w:t xml:space="preserve">con valoración GLOBAL:</w:t>
      </w:r>
      <w:r>
        <w:t xml:space="preserve"> </w:t>
      </w:r>
      <w:r>
        <w:rPr>
          <w:bCs/>
          <w:b/>
        </w:rPr>
        <w:t xml:space="preserve">APTO</w:t>
      </w:r>
      <w:r>
        <w:t xml:space="preserve">,</w:t>
      </w:r>
      <w:r>
        <w:t xml:space="preserve"> </w:t>
      </w:r>
      <w:r>
        <w:rPr>
          <w:bCs/>
          <w:b/>
        </w:rPr>
        <w:t xml:space="preserve">APTO CON CONDICIONES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APTO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Para proveedores de nivel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CRÍTICO</w:t>
      </w:r>
      <w:r>
        <w:t xml:space="preserve">, el informe se eleva al Comité de Seguridad para autorización formal antes de proceder a la contratación.</w:t>
      </w:r>
    </w:p>
    <w:p>
      <w:pPr>
        <w:numPr>
          <w:ilvl w:val="0"/>
          <w:numId w:val="1008"/>
        </w:numPr>
      </w:pPr>
      <w:r>
        <w:t xml:space="preserve">La decisión final corresponde al órgano competente para la contratación, quien deberá motivar cualquier decisión contraria al informe de seguridad.</w:t>
      </w:r>
    </w:p>
    <w:bookmarkEnd w:id="24"/>
    <w:bookmarkStart w:id="25" w:name="cláusulas-contractuales"/>
    <w:p>
      <w:pPr>
        <w:pStyle w:val="Heading3"/>
      </w:pPr>
      <w:r>
        <w:t xml:space="preserve">2.5 Cláusulas contractuales</w:t>
      </w:r>
    </w:p>
    <w:p>
      <w:pPr>
        <w:numPr>
          <w:ilvl w:val="0"/>
          <w:numId w:val="1009"/>
        </w:numPr>
      </w:pPr>
      <w:r>
        <w:t xml:space="preserve">El contrato a suscribir incorporará las cláusulas mínimas de seguridad establecidas en el apartado 5.3 de la Política {{ proyecto.codigo_documento_base }}-107.</w:t>
      </w:r>
    </w:p>
    <w:p>
      <w:pPr>
        <w:numPr>
          <w:ilvl w:val="0"/>
          <w:numId w:val="1009"/>
        </w:numPr>
      </w:pPr>
      <w:r>
        <w:t xml:space="preserve">Cuando el proveedor vaya a tratar datos personales por cuenta de la Entidad, se suscribirá adicionalmente el</w:t>
      </w:r>
      <w:r>
        <w:t xml:space="preserve"> </w:t>
      </w:r>
      <w:r>
        <w:rPr>
          <w:bCs/>
          <w:b/>
        </w:rPr>
        <w:t xml:space="preserve">Contrato de Encargo del Tratamiento</w:t>
      </w:r>
      <w:r>
        <w:t xml:space="preserve"> </w:t>
      </w:r>
      <w:r>
        <w:t xml:space="preserve">conforme al artículo 28.3 del RGPD.</w:t>
      </w:r>
    </w:p>
    <w:bookmarkEnd w:id="25"/>
    <w:bookmarkEnd w:id="26"/>
    <w:bookmarkStart w:id="27" w:name="fase-2-incorporación"/>
    <w:p>
      <w:pPr>
        <w:pStyle w:val="Heading2"/>
      </w:pPr>
      <w:r>
        <w:t xml:space="preserve">3. FASE 2 — INCORPORACIÓN</w:t>
      </w:r>
    </w:p>
    <w:p>
      <w:pPr>
        <w:numPr>
          <w:ilvl w:val="0"/>
          <w:numId w:val="1010"/>
        </w:numPr>
        <w:pStyle w:val="Compact"/>
      </w:pPr>
      <w:r>
        <w:t xml:space="preserve">Antes del inicio efectivo de la prestación:</w:t>
      </w:r>
    </w:p>
    <w:p>
      <w:pPr>
        <w:numPr>
          <w:ilvl w:val="0"/>
          <w:numId w:val="1011"/>
        </w:numPr>
        <w:pStyle w:val="Compact"/>
      </w:pPr>
      <w:r>
        <w:t xml:space="preserve">Se asignan los accesos necesarios al proveedor según el procedimiento {{ proyecto.codigo_documento_base }}-205.</w:t>
      </w:r>
    </w:p>
    <w:p>
      <w:pPr>
        <w:numPr>
          <w:ilvl w:val="0"/>
          <w:numId w:val="1011"/>
        </w:numPr>
        <w:pStyle w:val="Compact"/>
      </w:pPr>
      <w:r>
        <w:t xml:space="preserve">Se realiza una</w:t>
      </w:r>
      <w:r>
        <w:t xml:space="preserve"> </w:t>
      </w:r>
      <w:r>
        <w:rPr>
          <w:bCs/>
          <w:b/>
        </w:rPr>
        <w:t xml:space="preserve">sesión de incorporación</w:t>
      </w:r>
      <w:r>
        <w:t xml:space="preserve"> </w:t>
      </w:r>
      <w:r>
        <w:t xml:space="preserve">en la que se le presentan las normas del SGSI aplicables.</w:t>
      </w:r>
    </w:p>
    <w:p>
      <w:pPr>
        <w:numPr>
          <w:ilvl w:val="0"/>
          <w:numId w:val="1011"/>
        </w:numPr>
        <w:pStyle w:val="Compact"/>
      </w:pPr>
      <w:r>
        <w:t xml:space="preserve">Se firman los acuerdos de confidencialidad correspondientes.</w:t>
      </w:r>
    </w:p>
    <w:p>
      <w:pPr>
        <w:numPr>
          <w:ilvl w:val="0"/>
          <w:numId w:val="1011"/>
        </w:numPr>
        <w:pStyle w:val="Compact"/>
      </w:pPr>
      <w:r>
        <w:t xml:space="preserve">Se le entrega copia de las políticas E-106 (Uso Aceptable) y E-108 (Clasificación) en lo aplicable.</w:t>
      </w:r>
    </w:p>
    <w:bookmarkEnd w:id="27"/>
    <w:bookmarkStart w:id="31" w:name="fase-3-seguimiento-durante-la-prestación"/>
    <w:p>
      <w:pPr>
        <w:pStyle w:val="Heading2"/>
      </w:pPr>
      <w:r>
        <w:t xml:space="preserve">4. FASE 3 — SEGUIMIENTO DURANTE LA PRESTACIÓN</w:t>
      </w:r>
    </w:p>
    <w:bookmarkStart w:id="28" w:name="reuniones-periódicas-de-seguridad"/>
    <w:p>
      <w:pPr>
        <w:pStyle w:val="Heading3"/>
      </w:pPr>
      <w:r>
        <w:t xml:space="preserve">4.1 Reuniones periódicas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Acciones:</w:t>
      </w:r>
    </w:p>
    <w:p>
      <w:pPr>
        <w:numPr>
          <w:ilvl w:val="0"/>
          <w:numId w:val="1012"/>
        </w:numPr>
        <w:pStyle w:val="Compact"/>
      </w:pPr>
      <w:r>
        <w:t xml:space="preserve">En cada reunión se revisarán, al menos:</w:t>
      </w:r>
    </w:p>
    <w:p>
      <w:pPr>
        <w:numPr>
          <w:ilvl w:val="0"/>
          <w:numId w:val="1013"/>
        </w:numPr>
        <w:pStyle w:val="Compact"/>
      </w:pPr>
      <w:r>
        <w:t xml:space="preserve">Cumplimiento de los SLA contractualmente comprometidos.</w:t>
      </w:r>
    </w:p>
    <w:p>
      <w:pPr>
        <w:numPr>
          <w:ilvl w:val="0"/>
          <w:numId w:val="1013"/>
        </w:numPr>
        <w:pStyle w:val="Compact"/>
      </w:pPr>
      <w:r>
        <w:t xml:space="preserve">Incidentes ocurridos en el periodo y acciones adoptadas.</w:t>
      </w:r>
    </w:p>
    <w:p>
      <w:pPr>
        <w:numPr>
          <w:ilvl w:val="0"/>
          <w:numId w:val="1013"/>
        </w:numPr>
        <w:pStyle w:val="Compact"/>
      </w:pPr>
      <w:r>
        <w:t xml:space="preserve">Cambios significativos en la organización del proveedor o en sus medidas de seguridad.</w:t>
      </w:r>
    </w:p>
    <w:p>
      <w:pPr>
        <w:numPr>
          <w:ilvl w:val="0"/>
          <w:numId w:val="1013"/>
        </w:numPr>
        <w:pStyle w:val="Compact"/>
      </w:pPr>
      <w:r>
        <w:t xml:space="preserve">Cambios en la cadena de subcontratación.</w:t>
      </w:r>
    </w:p>
    <w:p>
      <w:pPr>
        <w:numPr>
          <w:ilvl w:val="0"/>
          <w:numId w:val="1013"/>
        </w:numPr>
        <w:pStyle w:val="Compact"/>
      </w:pPr>
      <w:r>
        <w:t xml:space="preserve">Resultados de auditorías internas o externas del proveedor.</w:t>
      </w:r>
    </w:p>
    <w:p>
      <w:pPr>
        <w:numPr>
          <w:ilvl w:val="0"/>
          <w:numId w:val="1013"/>
        </w:numPr>
        <w:pStyle w:val="Compact"/>
      </w:pPr>
      <w:r>
        <w:t xml:space="preserve">Recomendaciones de mejora.</w:t>
      </w:r>
    </w:p>
    <w:p>
      <w:pPr>
        <w:numPr>
          <w:ilvl w:val="0"/>
          <w:numId w:val="1014"/>
        </w:numPr>
        <w:pStyle w:val="Compact"/>
      </w:pPr>
      <w:r>
        <w:t xml:space="preserve">De cada reunión se levanta</w:t>
      </w:r>
      <w:r>
        <w:t xml:space="preserve"> </w:t>
      </w:r>
      <w:r>
        <w:rPr>
          <w:bCs/>
          <w:b/>
        </w:rPr>
        <w:t xml:space="preserve">acta</w:t>
      </w:r>
      <w:r>
        <w:t xml:space="preserve"> </w:t>
      </w:r>
      <w:r>
        <w:t xml:space="preserve">que firman ambas partes y queda incorporada al expediente del proveedor.</w:t>
      </w:r>
    </w:p>
    <w:bookmarkEnd w:id="28"/>
    <w:bookmarkStart w:id="29" w:name="auditorías"/>
    <w:p>
      <w:pPr>
        <w:pStyle w:val="Heading3"/>
      </w:pPr>
      <w:r>
        <w:t xml:space="preserve">4.2 Auditorías</w:t>
      </w:r>
    </w:p>
    <w:p>
      <w:pPr>
        <w:numPr>
          <w:ilvl w:val="0"/>
          <w:numId w:val="1015"/>
        </w:numPr>
        <w:pStyle w:val="Compact"/>
      </w:pPr>
      <w:r>
        <w:t xml:space="preserve">La Entidad podrá auditar al proveedor: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Auditoría documental anual</w:t>
      </w:r>
      <w:r>
        <w:t xml:space="preserve"> </w:t>
      </w:r>
      <w:r>
        <w:t xml:space="preserve">mediante actualización del cuestionario inicial del Anexo 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Auditoría in situ</w:t>
      </w:r>
      <w:r>
        <w:t xml:space="preserve"> </w:t>
      </w:r>
      <w:r>
        <w:t xml:space="preserve">para proveedores CRÍTICOS con periodicidad mínima anual.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Auditoría reactiva</w:t>
      </w:r>
      <w:r>
        <w:t xml:space="preserve"> </w:t>
      </w:r>
      <w:r>
        <w:t xml:space="preserve">tras cualquier incidente significativo.</w:t>
      </w:r>
    </w:p>
    <w:p>
      <w:pPr>
        <w:numPr>
          <w:ilvl w:val="0"/>
          <w:numId w:val="1017"/>
        </w:numPr>
      </w:pPr>
      <w:r>
        <w:t xml:space="preserve">Las auditorías se realizan con preaviso razonable salvo en caso de incidente grave.</w:t>
      </w:r>
    </w:p>
    <w:p>
      <w:pPr>
        <w:numPr>
          <w:ilvl w:val="0"/>
          <w:numId w:val="1017"/>
        </w:numPr>
      </w:pPr>
      <w:r>
        <w:t xml:space="preserve">Los resultados se documentan en el</w:t>
      </w:r>
      <w:r>
        <w:t xml:space="preserve"> </w:t>
      </w:r>
      <w:r>
        <w:rPr>
          <w:bCs/>
          <w:b/>
        </w:rPr>
        <w:t xml:space="preserve">Informe de Auditoría de Proveedor</w:t>
      </w:r>
      <w:r>
        <w:t xml:space="preserve"> </w:t>
      </w:r>
      <w:r>
        <w:t xml:space="preserve">y, si se detectan no conformidades, se acuerda un</w:t>
      </w:r>
      <w:r>
        <w:t xml:space="preserve"> </w:t>
      </w:r>
      <w:r>
        <w:rPr>
          <w:bCs/>
          <w:b/>
        </w:rPr>
        <w:t xml:space="preserve">Plan de Acción</w:t>
      </w:r>
      <w:r>
        <w:t xml:space="preserve"> </w:t>
      </w:r>
      <w:r>
        <w:t xml:space="preserve">con plazos definidos.</w:t>
      </w:r>
    </w:p>
    <w:bookmarkEnd w:id="29"/>
    <w:bookmarkStart w:id="30" w:name="Xdbde3bb3b806f2b3f63614b0f8f26d041f5b3d2"/>
    <w:p>
      <w:pPr>
        <w:pStyle w:val="Heading3"/>
      </w:pPr>
      <w:r>
        <w:t xml:space="preserve">4.3 Gestión de incidentes notificados por proveedores</w:t>
      </w:r>
    </w:p>
    <w:p>
      <w:pPr>
        <w:numPr>
          <w:ilvl w:val="0"/>
          <w:numId w:val="1018"/>
        </w:numPr>
      </w:pPr>
      <w:r>
        <w:t xml:space="preserve">Cuando un proveedor notifica un incidente que afecta a la Entidad, se aplica el procedimiento {{ proyecto.codigo_documento_base }}-204, considerando al proveedor como fuente del incidente.</w:t>
      </w:r>
    </w:p>
    <w:p>
      <w:pPr>
        <w:numPr>
          <w:ilvl w:val="0"/>
          <w:numId w:val="1018"/>
        </w:numPr>
      </w:pPr>
      <w:r>
        <w:t xml:space="preserve">Se evalúa el</w:t>
      </w:r>
      <w:r>
        <w:t xml:space="preserve"> </w:t>
      </w:r>
      <w:r>
        <w:rPr>
          <w:bCs/>
          <w:b/>
        </w:rPr>
        <w:t xml:space="preserve">impacto sobre la continuidad</w:t>
      </w:r>
      <w:r>
        <w:t xml:space="preserve"> </w:t>
      </w:r>
      <w:r>
        <w:t xml:space="preserve">del servicio prestado y la necesidad de activar planes de contingencia.</w:t>
      </w:r>
    </w:p>
    <w:p>
      <w:pPr>
        <w:numPr>
          <w:ilvl w:val="0"/>
          <w:numId w:val="1018"/>
        </w:numPr>
      </w:pPr>
      <w:r>
        <w:t xml:space="preserve">Se documenta la respuesta del proveedor, los tiempos de resolución y la eficacia de las medidas adoptadas.</w:t>
      </w:r>
    </w:p>
    <w:bookmarkEnd w:id="30"/>
    <w:bookmarkEnd w:id="31"/>
    <w:bookmarkStart w:id="32" w:name="fase-4-reevaluación-anual"/>
    <w:p>
      <w:pPr>
        <w:pStyle w:val="Heading2"/>
      </w:pPr>
      <w:r>
        <w:t xml:space="preserve">5. FASE 4 — REEVALUACIÓN ANUAL</w:t>
      </w:r>
    </w:p>
    <w:p>
      <w:pPr>
        <w:numPr>
          <w:ilvl w:val="0"/>
          <w:numId w:val="1019"/>
        </w:numPr>
        <w:pStyle w:val="Compact"/>
      </w:pPr>
      <w:r>
        <w:t xml:space="preserve">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, todos los proveedores activos de nivel MEDIO o superior son objeto de</w:t>
      </w:r>
      <w:r>
        <w:t xml:space="preserve"> </w:t>
      </w:r>
      <w:r>
        <w:rPr>
          <w:bCs/>
          <w:b/>
        </w:rPr>
        <w:t xml:space="preserve">reevaluación</w:t>
      </w:r>
      <w:r>
        <w:t xml:space="preserve">, que incluye:</w:t>
      </w:r>
    </w:p>
    <w:p>
      <w:pPr>
        <w:numPr>
          <w:ilvl w:val="0"/>
          <w:numId w:val="1020"/>
        </w:numPr>
        <w:pStyle w:val="Compact"/>
      </w:pPr>
      <w:r>
        <w:t xml:space="preserve">Actualización del cuestionario inicial.</w:t>
      </w:r>
    </w:p>
    <w:p>
      <w:pPr>
        <w:numPr>
          <w:ilvl w:val="0"/>
          <w:numId w:val="1020"/>
        </w:numPr>
        <w:pStyle w:val="Compact"/>
      </w:pPr>
      <w:r>
        <w:t xml:space="preserve">Verificación de la vigencia de las certificaciones declaradas.</w:t>
      </w:r>
    </w:p>
    <w:p>
      <w:pPr>
        <w:numPr>
          <w:ilvl w:val="0"/>
          <w:numId w:val="1020"/>
        </w:numPr>
        <w:pStyle w:val="Compact"/>
      </w:pPr>
      <w:r>
        <w:t xml:space="preserve">Revisión de los incidentes y su gestión durante el año.</w:t>
      </w:r>
    </w:p>
    <w:p>
      <w:pPr>
        <w:numPr>
          <w:ilvl w:val="0"/>
          <w:numId w:val="1020"/>
        </w:numPr>
        <w:pStyle w:val="Compact"/>
      </w:pPr>
      <w:r>
        <w:t xml:space="preserve">Análisis del cumplimiento de los SLA.</w:t>
      </w:r>
    </w:p>
    <w:p>
      <w:pPr>
        <w:numPr>
          <w:ilvl w:val="0"/>
          <w:numId w:val="1020"/>
        </w:numPr>
        <w:pStyle w:val="Compact"/>
      </w:pPr>
      <w:r>
        <w:t xml:space="preserve">Reconfirmación o reclasificación del nivel del proveedor.</w:t>
      </w:r>
    </w:p>
    <w:p>
      <w:pPr>
        <w:numPr>
          <w:ilvl w:val="0"/>
          <w:numId w:val="1021"/>
        </w:numPr>
        <w:pStyle w:val="Compact"/>
      </w:pPr>
      <w:r>
        <w:t xml:space="preserve">El resultado se incorpora al expediente del proveedor y se eleva al Comité de Seguridad.</w:t>
      </w:r>
    </w:p>
    <w:bookmarkEnd w:id="32"/>
    <w:bookmarkStart w:id="35" w:name="fase-5-salida-y-extinción-de-la-relación"/>
    <w:p>
      <w:pPr>
        <w:pStyle w:val="Heading2"/>
      </w:pPr>
      <w:r>
        <w:t xml:space="preserve">6. FASE 5 — SALIDA Y EXTINCIÓN DE LA RELACIÓN</w:t>
      </w:r>
    </w:p>
    <w:bookmarkStart w:id="33" w:name="planificación-de-la-salida"/>
    <w:p>
      <w:pPr>
        <w:pStyle w:val="Heading3"/>
      </w:pPr>
      <w:r>
        <w:t xml:space="preserve">6.1 Planificación de la salida</w:t>
      </w:r>
    </w:p>
    <w:p>
      <w:pPr>
        <w:numPr>
          <w:ilvl w:val="0"/>
          <w:numId w:val="1022"/>
        </w:numPr>
        <w:pStyle w:val="Compact"/>
      </w:pPr>
      <w:r>
        <w:t xml:space="preserve">Cuando se prevea la finalización de la relación con un proveedor crítico, se elabora con la antelación suficiente un</w:t>
      </w:r>
      <w:r>
        <w:t xml:space="preserve"> </w:t>
      </w:r>
      <w:r>
        <w:rPr>
          <w:bCs/>
          <w:b/>
        </w:rPr>
        <w:t xml:space="preserve">Plan de Salida</w:t>
      </w:r>
      <w:r>
        <w:t xml:space="preserve"> </w:t>
      </w:r>
      <w:r>
        <w:t xml:space="preserve">que contemple:</w:t>
      </w:r>
    </w:p>
    <w:p>
      <w:pPr>
        <w:numPr>
          <w:ilvl w:val="0"/>
          <w:numId w:val="1023"/>
        </w:numPr>
        <w:pStyle w:val="Compact"/>
      </w:pPr>
      <w:r>
        <w:t xml:space="preserve">Identificación del proveedor sustituto o de la internalización del servicio.</w:t>
      </w:r>
    </w:p>
    <w:p>
      <w:pPr>
        <w:numPr>
          <w:ilvl w:val="0"/>
          <w:numId w:val="1023"/>
        </w:numPr>
        <w:pStyle w:val="Compact"/>
      </w:pPr>
      <w:r>
        <w:t xml:space="preserve">Cronograma de transición.</w:t>
      </w:r>
    </w:p>
    <w:p>
      <w:pPr>
        <w:numPr>
          <w:ilvl w:val="0"/>
          <w:numId w:val="1023"/>
        </w:numPr>
        <w:pStyle w:val="Compact"/>
      </w:pPr>
      <w:r>
        <w:t xml:space="preserve">Plan de migración de datos y servicios.</w:t>
      </w:r>
    </w:p>
    <w:p>
      <w:pPr>
        <w:numPr>
          <w:ilvl w:val="0"/>
          <w:numId w:val="1023"/>
        </w:numPr>
        <w:pStyle w:val="Compact"/>
      </w:pPr>
      <w:r>
        <w:t xml:space="preserve">Pruebas de continuidad durante la transición.</w:t>
      </w:r>
    </w:p>
    <w:p>
      <w:pPr>
        <w:numPr>
          <w:ilvl w:val="0"/>
          <w:numId w:val="1023"/>
        </w:numPr>
        <w:pStyle w:val="Compact"/>
      </w:pPr>
      <w:r>
        <w:t xml:space="preserve">Comunicación a las partes interesadas afectadas.</w:t>
      </w:r>
    </w:p>
    <w:bookmarkEnd w:id="33"/>
    <w:bookmarkStart w:id="34" w:name="ejecución-de-la-salida"/>
    <w:p>
      <w:pPr>
        <w:pStyle w:val="Heading3"/>
      </w:pPr>
      <w:r>
        <w:t xml:space="preserve">6.2 Ejecución de la salida</w:t>
      </w:r>
    </w:p>
    <w:p>
      <w:pPr>
        <w:numPr>
          <w:ilvl w:val="0"/>
          <w:numId w:val="1024"/>
        </w:numPr>
        <w:pStyle w:val="Compact"/>
      </w:pPr>
      <w:r>
        <w:t xml:space="preserve">Al finalizar efectivamente la relación, se ejecuta la</w:t>
      </w:r>
      <w:r>
        <w:t xml:space="preserve"> </w:t>
      </w:r>
      <w:r>
        <w:rPr>
          <w:bCs/>
          <w:b/>
        </w:rPr>
        <w:t xml:space="preserve">Lista de Comprobación de Salida de Proveedor</w:t>
      </w:r>
      <w:r>
        <w:t xml:space="preserve"> </w:t>
      </w:r>
      <w:r>
        <w:t xml:space="preserve">del Anexo II:</w:t>
      </w:r>
    </w:p>
    <w:p>
      <w:pPr>
        <w:numPr>
          <w:ilvl w:val="0"/>
          <w:numId w:val="1025"/>
        </w:numPr>
        <w:pStyle w:val="Compact"/>
      </w:pPr>
      <w:r>
        <w:t xml:space="preserve">Devolución o eliminación segura de toda la información de la Entidad en posesión del proveedor.</w:t>
      </w:r>
    </w:p>
    <w:p>
      <w:pPr>
        <w:numPr>
          <w:ilvl w:val="0"/>
          <w:numId w:val="1025"/>
        </w:numPr>
        <w:pStyle w:val="Compact"/>
      </w:pPr>
      <w:r>
        <w:t xml:space="preserve">Obtención del</w:t>
      </w:r>
      <w:r>
        <w:t xml:space="preserve"> </w:t>
      </w:r>
      <w:r>
        <w:rPr>
          <w:bCs/>
          <w:b/>
        </w:rPr>
        <w:t xml:space="preserve">Certificado de Destrucción de Datos</w:t>
      </w:r>
      <w:r>
        <w:t xml:space="preserve"> </w:t>
      </w:r>
      <w:r>
        <w:t xml:space="preserve">firmado por el proveedor.</w:t>
      </w:r>
    </w:p>
    <w:p>
      <w:pPr>
        <w:numPr>
          <w:ilvl w:val="0"/>
          <w:numId w:val="1025"/>
        </w:numPr>
        <w:pStyle w:val="Compact"/>
      </w:pPr>
      <w:r>
        <w:t xml:space="preserve">Revocación de todos los accesos del proveedor a sistemas, redes e instalaciones de la Entidad, conforme al procedimiento {{ proyecto.codigo_documento_base }}-205.</w:t>
      </w:r>
    </w:p>
    <w:p>
      <w:pPr>
        <w:numPr>
          <w:ilvl w:val="0"/>
          <w:numId w:val="1025"/>
        </w:numPr>
        <w:pStyle w:val="Compact"/>
      </w:pPr>
      <w:r>
        <w:t xml:space="preserve">Recuperación de credenciales, tarjetas, tokens y demás recursos.</w:t>
      </w:r>
    </w:p>
    <w:p>
      <w:pPr>
        <w:numPr>
          <w:ilvl w:val="0"/>
          <w:numId w:val="1025"/>
        </w:numPr>
        <w:pStyle w:val="Compact"/>
      </w:pPr>
      <w:r>
        <w:t xml:space="preserve">Verificación documental del cumplimiento de todas las obligaciones contractuales.</w:t>
      </w:r>
    </w:p>
    <w:p>
      <w:pPr>
        <w:numPr>
          <w:ilvl w:val="0"/>
          <w:numId w:val="1025"/>
        </w:numPr>
        <w:pStyle w:val="Compact"/>
      </w:pPr>
      <w:r>
        <w:t xml:space="preserve">Recordatorio escrito de las obligaciones que subsisten tras la extinción.</w:t>
      </w:r>
    </w:p>
    <w:p>
      <w:pPr>
        <w:numPr>
          <w:ilvl w:val="0"/>
          <w:numId w:val="1026"/>
        </w:numPr>
        <w:pStyle w:val="Compact"/>
      </w:pPr>
      <w:r>
        <w:t xml:space="preserve">Se elabora el</w:t>
      </w:r>
      <w:r>
        <w:t xml:space="preserve"> </w:t>
      </w:r>
      <w:r>
        <w:rPr>
          <w:bCs/>
          <w:b/>
        </w:rPr>
        <w:t xml:space="preserve">Informe de Cierre de Proveedor</w:t>
      </w:r>
      <w:r>
        <w:t xml:space="preserve"> </w:t>
      </w:r>
      <w:r>
        <w:t xml:space="preserve">y se archiva el expediente conforme al procedimiento {{ proyecto.codigo_documento_base }}-203.</w:t>
      </w:r>
    </w:p>
    <w:bookmarkEnd w:id="34"/>
    <w:bookmarkEnd w:id="35"/>
    <w:bookmarkStart w:id="36" w:name="indicadores"/>
    <w:p>
      <w:pPr>
        <w:pStyle w:val="Heading2"/>
      </w:pPr>
      <w:r>
        <w:t xml:space="preserve">7.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MEDIO+ con cuestionario vigente (&lt; 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CRÍTICO con auditoría anual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con plan de acción abierto &gt;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notificados por proveedores en plazo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36"/>
    <w:bookmarkStart w:id="37" w:name="anexos"/>
    <w:p>
      <w:pPr>
        <w:pStyle w:val="Heading2"/>
      </w:pPr>
      <w:r>
        <w:t xml:space="preserve">8. ANEXOS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Cuestionario de Evaluación de Seguridad de Proveedores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Lista de Comprobación de Salida de Proveedor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Plantilla de Acta de reunión periódica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Plantilla del Informe de Auditoría de Proveedor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Modelo de Cláusulas de Seguridad para contratos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Anexo VI:</w:t>
      </w:r>
      <w:r>
        <w:t xml:space="preserve"> </w:t>
      </w:r>
      <w:r>
        <w:t xml:space="preserve">Modelo de Contrato de Encargo del Tratamiento (art. 28 RGPD)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}}-217 — Versión {{ proyecto.version_actual }} — Clasificación: INTERNA</w:t>
      </w:r>
    </w:p>
    <w:bookmarkEnd w:id="37"/>
    <w:bookmarkEnd w:id="38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E-217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E-217 · PROCEDIMIENTO DE EVALUACIÓN Y SEGUIMIENTO DE PROVEEDORES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1"/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1"/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1"/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1"/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1"/>
  </w:num>
  <w:num w:numId="102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5">
    <w:abstractNumId w:val="991"/>
  </w:num>
  <w:num w:numId="102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}}-217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}}-107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Evaluación y Seguimiento de Proveedores</vt:lpwstr>
  </property>
  <property fmtid="{D5CDD505-2E9C-101B-9397-08002B2CF9AE}" pid="9" name="version">
    <vt:lpwstr>{{ proyecto.version_actual }}</vt:lpwstr>
  </property>
</Properties>
</file>