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c7f7a7e52bac18db4802e6002ba582ea2720b2c"/>
    <w:p>
      <w:pPr>
        <w:pStyle w:val="Heading1"/>
      </w:pPr>
      <w:r>
        <w:t xml:space="preserve">PROCEDIMIENTO DE AUDITORÍA INTERNA DEL SGSI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}}-234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método mediante el cual {{ cliente.razon_social }} planifica, ejecuta, comunica y realiza el seguimiento de las auditorías internas del SGSI, con el doble objetivo de:</w:t>
      </w:r>
    </w:p>
    <w:p>
      <w:pPr>
        <w:numPr>
          <w:ilvl w:val="0"/>
          <w:numId w:val="1001"/>
        </w:numPr>
      </w:pPr>
      <w:r>
        <w:t xml:space="preserve">Verificar el cumplimiento del SGSI con los requisitos del Real Decreto 311/2022 y de las normas y procedimientos internos de la Entidad.</w:t>
      </w:r>
    </w:p>
    <w:p>
      <w:pPr>
        <w:numPr>
          <w:ilvl w:val="0"/>
          <w:numId w:val="1001"/>
        </w:numPr>
      </w:pPr>
      <w:r>
        <w:t xml:space="preserve">Identificar oportunidades de mejora del SGSI y de la postura general de seguridad.</w:t>
      </w:r>
    </w:p>
    <w:p>
      <w:pPr>
        <w:pStyle w:val="FirstParagraph"/>
      </w:pPr>
      <w:r>
        <w:t xml:space="preserve">Este procedimiento da cumplimiento al</w:t>
      </w:r>
      <w:r>
        <w:t xml:space="preserve"> </w:t>
      </w:r>
      <w:r>
        <w:rPr>
          <w:bCs/>
          <w:b/>
        </w:rPr>
        <w:t xml:space="preserve">artículo 31 del Real Decreto 311/2022</w:t>
      </w:r>
      <w:r>
        <w:t xml:space="preserve"> </w:t>
      </w:r>
      <w:r>
        <w:t xml:space="preserve">(Auditoría) y a la</w:t>
      </w:r>
      <w:r>
        <w:t xml:space="preserve"> </w:t>
      </w:r>
      <w:r>
        <w:rPr>
          <w:bCs/>
          <w:b/>
        </w:rPr>
        <w:t xml:space="preserve">Instrucción Técnica de Seguridad de Auditoría de la Seguridad</w:t>
      </w:r>
      <w:r>
        <w:t xml:space="preserve"> </w:t>
      </w:r>
      <w:r>
        <w:t xml:space="preserve">publicada por Resolución de 27 de marzo de 2018 (BOE-A-2018-4573), y complementa, sin sustituirla, a la auditoría externa de certificación realizada por una entidad acreditada por ENAC conforme a la norma UNE-EN ISO/IEC 17065:2012.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La auditoría interna abarca la totalidad del SGSI implantado en {{ cliente.razon_social }}, incluyendo:</w:t>
      </w:r>
    </w:p>
    <w:p>
      <w:pPr>
        <w:numPr>
          <w:ilvl w:val="0"/>
          <w:numId w:val="1002"/>
        </w:numPr>
      </w:pPr>
      <w:r>
        <w:t xml:space="preserve">Cumplimiento documental: verificación de la existencia, vigencia y aprobación de las políticas, procedimientos e instrucciones técnicas.</w:t>
      </w:r>
    </w:p>
    <w:p>
      <w:pPr>
        <w:numPr>
          <w:ilvl w:val="0"/>
          <w:numId w:val="1002"/>
        </w:numPr>
      </w:pPr>
      <w:r>
        <w:t xml:space="preserve">Cumplimiento operativo: verificación de que las medidas declaradas en la Declaración de Aplicabilidad están realmente implantadas y son eficaces.</w:t>
      </w:r>
    </w:p>
    <w:p>
      <w:pPr>
        <w:numPr>
          <w:ilvl w:val="0"/>
          <w:numId w:val="1002"/>
        </w:numPr>
      </w:pPr>
      <w:r>
        <w:t xml:space="preserve">Cumplimiento técnico: verificación mediante pruebas de la robustez técnica de los controles desplegados.</w:t>
      </w:r>
    </w:p>
    <w:p>
      <w:pPr>
        <w:numPr>
          <w:ilvl w:val="0"/>
          <w:numId w:val="1002"/>
        </w:numPr>
      </w:pPr>
      <w:r>
        <w:t xml:space="preserve">Cumplimiento de obligaciones legales: verificación del cumplimiento del marco normativo aplicable (RD 311/2022, RGPD, LOPDGDD y normativa sectorial cuando proceda).</w:t>
      </w:r>
    </w:p>
    <w:bookmarkEnd w:id="21"/>
    <w:bookmarkStart w:id="27" w:name="principios-de-la-auditoría-interna"/>
    <w:p>
      <w:pPr>
        <w:pStyle w:val="Heading2"/>
      </w:pPr>
      <w:r>
        <w:t xml:space="preserve">3. PRINCIPIOS DE LA AUDITORÍA INTERNA</w:t>
      </w:r>
    </w:p>
    <w:bookmarkStart w:id="22" w:name="independencia"/>
    <w:p>
      <w:pPr>
        <w:pStyle w:val="Heading3"/>
      </w:pPr>
      <w:r>
        <w:t xml:space="preserve">3.1 Independencia</w:t>
      </w:r>
    </w:p>
    <w:p>
      <w:pPr>
        <w:pStyle w:val="FirstParagraph"/>
      </w:pPr>
      <w:r>
        <w:t xml:space="preserve">El equipo auditor será</w:t>
      </w:r>
      <w:r>
        <w:t xml:space="preserve"> </w:t>
      </w:r>
      <w:r>
        <w:rPr>
          <w:bCs/>
          <w:b/>
        </w:rPr>
        <w:t xml:space="preserve">funcionalmente independiente</w:t>
      </w:r>
      <w:r>
        <w:t xml:space="preserve"> </w:t>
      </w:r>
      <w:r>
        <w:t xml:space="preserve">de las áreas auditadas. En particular, el Responsable del Sistema no podrá auditar los aspectos técnicos cuya operación tenga encomendada.</w:t>
      </w:r>
    </w:p>
    <w:p>
      <w:pPr>
        <w:pStyle w:val="BodyText"/>
      </w:pPr>
      <w:r>
        <w:t xml:space="preserve">Cuando, por la dimensión de la Entidad, no sea posible garantizar plenamente la independencia interna, se recurrirá a un</w:t>
      </w:r>
      <w:r>
        <w:t xml:space="preserve"> </w:t>
      </w:r>
      <w:r>
        <w:rPr>
          <w:bCs/>
          <w:b/>
        </w:rPr>
        <w:t xml:space="preserve">auditor externo independiente</w:t>
      </w:r>
      <w:r>
        <w:t xml:space="preserve"> </w:t>
      </w:r>
      <w:r>
        <w:t xml:space="preserve">específicamente contratado para esta función, distinto en cualquier caso de la entidad de certificación.</w:t>
      </w:r>
    </w:p>
    <w:bookmarkEnd w:id="22"/>
    <w:bookmarkStart w:id="23" w:name="objetividad"/>
    <w:p>
      <w:pPr>
        <w:pStyle w:val="Heading3"/>
      </w:pPr>
      <w:r>
        <w:t xml:space="preserve">3.2 Objetividad</w:t>
      </w:r>
    </w:p>
    <w:p>
      <w:pPr>
        <w:pStyle w:val="FirstParagraph"/>
      </w:pPr>
      <w:r>
        <w:t xml:space="preserve">Los hallazgos de auditoría se basarán exclusivamente en</w:t>
      </w:r>
      <w:r>
        <w:t xml:space="preserve"> </w:t>
      </w:r>
      <w:r>
        <w:rPr>
          <w:bCs/>
          <w:b/>
        </w:rPr>
        <w:t xml:space="preserve">evidencias objetivas</w:t>
      </w:r>
      <w:r>
        <w:t xml:space="preserve"> </w:t>
      </w:r>
      <w:r>
        <w:t xml:space="preserve">documentadas, no en opiniones o impresiones del auditor.</w:t>
      </w:r>
    </w:p>
    <w:bookmarkEnd w:id="23"/>
    <w:bookmarkStart w:id="24" w:name="profesionalidad"/>
    <w:p>
      <w:pPr>
        <w:pStyle w:val="Heading3"/>
      </w:pPr>
      <w:r>
        <w:t xml:space="preserve">3.3 Profesionalidad</w:t>
      </w:r>
    </w:p>
    <w:p>
      <w:pPr>
        <w:pStyle w:val="FirstParagraph"/>
      </w:pPr>
      <w:r>
        <w:t xml:space="preserve">El equipo auditor contará con la</w:t>
      </w:r>
      <w:r>
        <w:t xml:space="preserve"> </w:t>
      </w:r>
      <w:r>
        <w:rPr>
          <w:bCs/>
          <w:b/>
        </w:rPr>
        <w:t xml:space="preserve">formación y experiencia</w:t>
      </w:r>
      <w:r>
        <w:t xml:space="preserve"> </w:t>
      </w:r>
      <w:r>
        <w:t xml:space="preserve">adecuadas en materia de seguridad de la información, ENS y técnicas de auditoría.</w:t>
      </w:r>
    </w:p>
    <w:bookmarkEnd w:id="24"/>
    <w:bookmarkStart w:id="25" w:name="confidencialidad"/>
    <w:p>
      <w:pPr>
        <w:pStyle w:val="Heading3"/>
      </w:pPr>
      <w:r>
        <w:t xml:space="preserve">3.4 Confidencialidad</w:t>
      </w:r>
    </w:p>
    <w:p>
      <w:pPr>
        <w:pStyle w:val="FirstParagraph"/>
      </w:pPr>
      <w:r>
        <w:t xml:space="preserve">La información a la que el equipo auditor acceda en el ejercicio de sus funciones estará sujeta a estricto deber de confidencialidad, formalizándose mediante el correspondiente acuerdo cuando intervengan auditores externos.</w:t>
      </w:r>
    </w:p>
    <w:bookmarkEnd w:id="25"/>
    <w:bookmarkStart w:id="26" w:name="carácter-constructivo"/>
    <w:p>
      <w:pPr>
        <w:pStyle w:val="Heading3"/>
      </w:pPr>
      <w:r>
        <w:t xml:space="preserve">3.5 Carácter constructivo</w:t>
      </w:r>
    </w:p>
    <w:p>
      <w:pPr>
        <w:pStyle w:val="FirstParagraph"/>
      </w:pPr>
      <w:r>
        <w:t xml:space="preserve">La auditoría interna tiene</w:t>
      </w:r>
      <w:r>
        <w:t xml:space="preserve"> </w:t>
      </w:r>
      <w:r>
        <w:rPr>
          <w:bCs/>
          <w:b/>
        </w:rPr>
        <w:t xml:space="preserve">carácter constructivo y de mejora</w:t>
      </w:r>
      <w:r>
        <w:t xml:space="preserve">, no sancionador. Su objetivo es identificar oportunidades de mejora y no buscar culpables.</w:t>
      </w:r>
    </w:p>
    <w:bookmarkEnd w:id="26"/>
    <w:bookmarkEnd w:id="27"/>
    <w:bookmarkStart w:id="31" w:name="frecuencia"/>
    <w:p>
      <w:pPr>
        <w:pStyle w:val="Heading2"/>
      </w:pPr>
      <w:r>
        <w:t xml:space="preserve">4. FRECUENCIA</w:t>
      </w:r>
    </w:p>
    <w:bookmarkStart w:id="28" w:name="auditoría-completa-ordinaria"/>
    <w:p>
      <w:pPr>
        <w:pStyle w:val="Heading3"/>
      </w:pPr>
      <w:r>
        <w:t xml:space="preserve">4.1 Auditoría completa ordinaria</w:t>
      </w:r>
    </w:p>
    <w:p>
      <w:pPr>
        <w:pStyle w:val="FirstParagraph"/>
      </w:pPr>
      <w:r>
        <w:t xml:space="preserve">Se realizará una</w:t>
      </w:r>
      <w:r>
        <w:t xml:space="preserve"> </w:t>
      </w:r>
      <w:r>
        <w:rPr>
          <w:bCs/>
          <w:b/>
        </w:rPr>
        <w:t xml:space="preserve">auditoría interna completa anual</w:t>
      </w:r>
      <w:r>
        <w:t xml:space="preserve"> </w:t>
      </w:r>
      <w:r>
        <w:t xml:space="preserve">del SGSI, conforme exige el artículo 31 del RD 311/2022. La auditoría se programará idealmente para los</w:t>
      </w:r>
      <w:r>
        <w:t xml:space="preserve"> </w:t>
      </w:r>
      <w:r>
        <w:rPr>
          <w:bCs/>
          <w:b/>
        </w:rPr>
        <w:t xml:space="preserve">3-6 meses anteriores</w:t>
      </w:r>
      <w:r>
        <w:t xml:space="preserve"> </w:t>
      </w:r>
      <w:r>
        <w:t xml:space="preserve">a la auditoría externa de certificación, de modo que sus hallazgos puedan ser corregidos antes del paso del auditor ENAC.</w:t>
      </w:r>
    </w:p>
    <w:bookmarkEnd w:id="28"/>
    <w:bookmarkStart w:id="29" w:name="auditorías-parciales"/>
    <w:p>
      <w:pPr>
        <w:pStyle w:val="Heading3"/>
      </w:pPr>
      <w:r>
        <w:t xml:space="preserve">4.2 Auditorías parciales</w:t>
      </w:r>
    </w:p>
    <w:p>
      <w:pPr>
        <w:pStyle w:val="FirstParagraph"/>
      </w:pPr>
      <w:r>
        <w:t xml:space="preserve">Adicionalmente, podrán realizarse</w:t>
      </w:r>
      <w:r>
        <w:t xml:space="preserve"> </w:t>
      </w:r>
      <w:r>
        <w:rPr>
          <w:bCs/>
          <w:b/>
        </w:rPr>
        <w:t xml:space="preserve">auditorías parciales</w:t>
      </w:r>
      <w:r>
        <w:t xml:space="preserve"> </w:t>
      </w:r>
      <w:r>
        <w:t xml:space="preserve">centradas en aspectos específicos cuando:</w:t>
      </w:r>
    </w:p>
    <w:p>
      <w:pPr>
        <w:numPr>
          <w:ilvl w:val="0"/>
          <w:numId w:val="1003"/>
        </w:numPr>
        <w:pStyle w:val="Compact"/>
      </w:pPr>
      <w:r>
        <w:t xml:space="preserve">Se introduzcan cambios significativos en el sistema.</w:t>
      </w:r>
    </w:p>
    <w:p>
      <w:pPr>
        <w:numPr>
          <w:ilvl w:val="0"/>
          <w:numId w:val="1003"/>
        </w:numPr>
        <w:pStyle w:val="Compact"/>
      </w:pPr>
      <w:r>
        <w:t xml:space="preserve">Se materialice un incidente relevante.</w:t>
      </w:r>
    </w:p>
    <w:p>
      <w:pPr>
        <w:numPr>
          <w:ilvl w:val="0"/>
          <w:numId w:val="1003"/>
        </w:numPr>
        <w:pStyle w:val="Compact"/>
      </w:pPr>
      <w:r>
        <w:t xml:space="preserve">Se identifiquen áreas de riesgo elevado en el análisis de riesgos.</w:t>
      </w:r>
    </w:p>
    <w:p>
      <w:pPr>
        <w:numPr>
          <w:ilvl w:val="0"/>
          <w:numId w:val="1003"/>
        </w:numPr>
        <w:pStyle w:val="Compact"/>
      </w:pPr>
      <w:r>
        <w:t xml:space="preserve">Lo decida el Comité de Seguridad.</w:t>
      </w:r>
    </w:p>
    <w:bookmarkEnd w:id="29"/>
    <w:bookmarkStart w:id="30" w:name="auditorías-de-seguimiento"/>
    <w:p>
      <w:pPr>
        <w:pStyle w:val="Heading3"/>
      </w:pPr>
      <w:r>
        <w:t xml:space="preserve">4.3 Auditorías de seguimiento</w:t>
      </w:r>
    </w:p>
    <w:p>
      <w:pPr>
        <w:pStyle w:val="FirstParagraph"/>
      </w:pPr>
      <w:r>
        <w:t xml:space="preserve">Tras una auditoría que detecte no conformidades, se realizarán</w:t>
      </w:r>
      <w:r>
        <w:t xml:space="preserve"> </w:t>
      </w:r>
      <w:r>
        <w:rPr>
          <w:bCs/>
          <w:b/>
        </w:rPr>
        <w:t xml:space="preserve">auditorías de seguimiento</w:t>
      </w:r>
      <w:r>
        <w:t xml:space="preserve"> </w:t>
      </w:r>
      <w:r>
        <w:t xml:space="preserve">para verificar la efectividad de las acciones correctivas.</w:t>
      </w:r>
    </w:p>
    <w:bookmarkEnd w:id="30"/>
    <w:bookmarkEnd w:id="31"/>
    <w:bookmarkStart w:id="35" w:name="equipo-auditor"/>
    <w:p>
      <w:pPr>
        <w:pStyle w:val="Heading2"/>
      </w:pPr>
      <w:r>
        <w:t xml:space="preserve">5. EQUIPO AUDITOR</w:t>
      </w:r>
    </w:p>
    <w:bookmarkStart w:id="32" w:name="composición"/>
    <w:p>
      <w:pPr>
        <w:pStyle w:val="Heading3"/>
      </w:pPr>
      <w:r>
        <w:t xml:space="preserve">5.1 Composición</w:t>
      </w:r>
    </w:p>
    <w:p>
      <w:pPr>
        <w:pStyle w:val="FirstParagraph"/>
      </w:pPr>
      <w:r>
        <w:t xml:space="preserve">El equipo auditor estará integrado por al menos: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Auditor jefe:</w:t>
      </w:r>
      <w:r>
        <w:t xml:space="preserve"> </w:t>
      </w:r>
      <w:r>
        <w:t xml:space="preserve">persona con experiencia acreditada en auditoría de SGSI conforme al ENS o a ISO 27001, formación específica en técnicas de auditoría y conocimiento del marco normativo aplicable.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Auditor técnico:</w:t>
      </w:r>
      <w:r>
        <w:t xml:space="preserve"> </w:t>
      </w:r>
      <w:r>
        <w:t xml:space="preserve">persona con conocimientos técnicos suficientes para evaluar los controles tecnológicos.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Auditor de procesos:</w:t>
      </w:r>
      <w:r>
        <w:t xml:space="preserve"> </w:t>
      </w:r>
      <w:r>
        <w:t xml:space="preserve">cuando proceda, persona especializada en procesos organizativos.</w:t>
      </w:r>
    </w:p>
    <w:bookmarkEnd w:id="32"/>
    <w:bookmarkStart w:id="33" w:name="cualificación"/>
    <w:p>
      <w:pPr>
        <w:pStyle w:val="Heading3"/>
      </w:pPr>
      <w:r>
        <w:t xml:space="preserve">5.2 Cualificación</w:t>
      </w:r>
    </w:p>
    <w:p>
      <w:pPr>
        <w:pStyle w:val="FirstParagraph"/>
      </w:pPr>
      <w:r>
        <w:t xml:space="preserve">El equipo auditor acreditará formación en, al menos, una de las siguientes vías:</w:t>
      </w:r>
    </w:p>
    <w:p>
      <w:pPr>
        <w:numPr>
          <w:ilvl w:val="0"/>
          <w:numId w:val="1005"/>
        </w:numPr>
        <w:pStyle w:val="Compact"/>
      </w:pPr>
      <w:r>
        <w:t xml:space="preserve">Curso oficial de auditoría ENS impartido por el CCN o por entidad reconocida.</w:t>
      </w:r>
    </w:p>
    <w:p>
      <w:pPr>
        <w:numPr>
          <w:ilvl w:val="0"/>
          <w:numId w:val="1005"/>
        </w:numPr>
        <w:pStyle w:val="Compact"/>
      </w:pPr>
      <w:r>
        <w:t xml:space="preserve">Certificación ISO 27001 Lead Auditor.</w:t>
      </w:r>
    </w:p>
    <w:p>
      <w:pPr>
        <w:numPr>
          <w:ilvl w:val="0"/>
          <w:numId w:val="1005"/>
        </w:numPr>
        <w:pStyle w:val="Compact"/>
      </w:pPr>
      <w:r>
        <w:t xml:space="preserve">Certificación CISA (Certified Information Systems Auditor).</w:t>
      </w:r>
    </w:p>
    <w:p>
      <w:pPr>
        <w:numPr>
          <w:ilvl w:val="0"/>
          <w:numId w:val="1005"/>
        </w:numPr>
        <w:pStyle w:val="Compact"/>
      </w:pPr>
      <w:r>
        <w:t xml:space="preserve">Experiencia demostrable de al menos 3 auditorías SGSI ENS previas.</w:t>
      </w:r>
    </w:p>
    <w:bookmarkEnd w:id="33"/>
    <w:bookmarkStart w:id="34" w:name="designación"/>
    <w:p>
      <w:pPr>
        <w:pStyle w:val="Heading3"/>
      </w:pPr>
      <w:r>
        <w:t xml:space="preserve">5.3 Designación</w:t>
      </w:r>
    </w:p>
    <w:p>
      <w:pPr>
        <w:pStyle w:val="FirstParagraph"/>
      </w:pPr>
      <w:r>
        <w:t xml:space="preserve">El equipo auditor será propuesto por el Responsable de la Seguridad y aprobado por el Comité de Seguridad, garantizando los principios de independencia y objetividad del apartado 3.</w:t>
      </w:r>
    </w:p>
    <w:bookmarkEnd w:id="34"/>
    <w:bookmarkEnd w:id="35"/>
    <w:bookmarkStart w:id="41" w:name="proceso-de-auditoría"/>
    <w:p>
      <w:pPr>
        <w:pStyle w:val="Heading2"/>
      </w:pPr>
      <w:r>
        <w:t xml:space="preserve">6. PROCESO DE AUDITORÍA</w:t>
      </w:r>
    </w:p>
    <w:bookmarkStart w:id="36" w:name="planificación"/>
    <w:p>
      <w:pPr>
        <w:pStyle w:val="Heading3"/>
      </w:pPr>
      <w:r>
        <w:t xml:space="preserve">6.1 Planificación</w:t>
      </w:r>
    </w:p>
    <w:p>
      <w:pPr>
        <w:pStyle w:val="FirstParagraph"/>
      </w:pPr>
      <w:r>
        <w:rPr>
          <w:bCs/>
          <w:b/>
        </w:rPr>
        <w:t xml:space="preserve">Paso 1.</w:t>
      </w:r>
      <w:r>
        <w:t xml:space="preserve"> </w:t>
      </w:r>
      <w:r>
        <w:t xml:space="preserve">Con al menos 30 días naturales de antelación al inicio de la auditoría, el Responsable de la Seguridad elabora el</w:t>
      </w:r>
      <w:r>
        <w:t xml:space="preserve"> </w:t>
      </w:r>
      <w:r>
        <w:rPr>
          <w:bCs/>
          <w:b/>
        </w:rPr>
        <w:t xml:space="preserve">Plan de Auditoría Interna</w:t>
      </w:r>
      <w:r>
        <w:t xml:space="preserve"> </w:t>
      </w:r>
      <w:r>
        <w:t xml:space="preserve">que incluirá:</w:t>
      </w:r>
    </w:p>
    <w:p>
      <w:pPr>
        <w:numPr>
          <w:ilvl w:val="0"/>
          <w:numId w:val="1006"/>
        </w:numPr>
        <w:pStyle w:val="Compact"/>
      </w:pPr>
      <w:r>
        <w:t xml:space="preserve">Alcance específico de la auditoría.</w:t>
      </w:r>
    </w:p>
    <w:p>
      <w:pPr>
        <w:numPr>
          <w:ilvl w:val="0"/>
          <w:numId w:val="1006"/>
        </w:numPr>
        <w:pStyle w:val="Compact"/>
      </w:pPr>
      <w:r>
        <w:t xml:space="preserve">Criterios de auditoría (RD 311/2022, normativa interna, normas ISO aplicables).</w:t>
      </w:r>
    </w:p>
    <w:p>
      <w:pPr>
        <w:numPr>
          <w:ilvl w:val="0"/>
          <w:numId w:val="1006"/>
        </w:numPr>
        <w:pStyle w:val="Compact"/>
      </w:pPr>
      <w:r>
        <w:t xml:space="preserve">Calendario detallado.</w:t>
      </w:r>
    </w:p>
    <w:p>
      <w:pPr>
        <w:numPr>
          <w:ilvl w:val="0"/>
          <w:numId w:val="1006"/>
        </w:numPr>
        <w:pStyle w:val="Compact"/>
      </w:pPr>
      <w:r>
        <w:t xml:space="preserve">Composición del equipo auditor.</w:t>
      </w:r>
    </w:p>
    <w:p>
      <w:pPr>
        <w:numPr>
          <w:ilvl w:val="0"/>
          <w:numId w:val="1006"/>
        </w:numPr>
        <w:pStyle w:val="Compact"/>
      </w:pPr>
      <w:r>
        <w:t xml:space="preserve">Áreas y procesos a auditar.</w:t>
      </w:r>
    </w:p>
    <w:p>
      <w:pPr>
        <w:numPr>
          <w:ilvl w:val="0"/>
          <w:numId w:val="1006"/>
        </w:numPr>
        <w:pStyle w:val="Compact"/>
      </w:pPr>
      <w:r>
        <w:t xml:space="preserve">Métodos a emplear (entrevistas, revisión documental, observación, pruebas técnicas).</w:t>
      </w:r>
    </w:p>
    <w:p>
      <w:pPr>
        <w:numPr>
          <w:ilvl w:val="0"/>
          <w:numId w:val="1006"/>
        </w:numPr>
        <w:pStyle w:val="Compact"/>
      </w:pPr>
      <w:r>
        <w:t xml:space="preserve">Recursos necesarios.</w:t>
      </w:r>
    </w:p>
    <w:p>
      <w:pPr>
        <w:pStyle w:val="FirstParagraph"/>
      </w:pPr>
      <w:r>
        <w:rPr>
          <w:bCs/>
          <w:b/>
        </w:rPr>
        <w:t xml:space="preserve">Paso 2.</w:t>
      </w:r>
      <w:r>
        <w:t xml:space="preserve"> </w:t>
      </w:r>
      <w:r>
        <w:t xml:space="preserve">El Plan se comunica a las áreas auditadas con la antelación suficiente.</w:t>
      </w:r>
    </w:p>
    <w:bookmarkEnd w:id="36"/>
    <w:bookmarkStart w:id="37" w:name="reunión-de-apertura"/>
    <w:p>
      <w:pPr>
        <w:pStyle w:val="Heading3"/>
      </w:pPr>
      <w:r>
        <w:t xml:space="preserve">6.2 Reunión de apertura</w:t>
      </w:r>
    </w:p>
    <w:p>
      <w:pPr>
        <w:pStyle w:val="FirstParagraph"/>
      </w:pPr>
      <w:r>
        <w:rPr>
          <w:bCs/>
          <w:b/>
        </w:rPr>
        <w:t xml:space="preserve">Paso 3.</w:t>
      </w:r>
      <w:r>
        <w:t xml:space="preserve"> </w:t>
      </w:r>
      <w:r>
        <w:t xml:space="preserve">La auditoría se inicia con una</w:t>
      </w:r>
      <w:r>
        <w:t xml:space="preserve"> </w:t>
      </w:r>
      <w:r>
        <w:rPr>
          <w:bCs/>
          <w:b/>
        </w:rPr>
        <w:t xml:space="preserve">reunión de apertura</w:t>
      </w:r>
      <w:r>
        <w:t xml:space="preserve"> </w:t>
      </w:r>
      <w:r>
        <w:t xml:space="preserve">en la que:</w:t>
      </w:r>
    </w:p>
    <w:p>
      <w:pPr>
        <w:numPr>
          <w:ilvl w:val="0"/>
          <w:numId w:val="1007"/>
        </w:numPr>
        <w:pStyle w:val="Compact"/>
      </w:pPr>
      <w:r>
        <w:t xml:space="preserve">Se presenta el equipo auditor.</w:t>
      </w:r>
    </w:p>
    <w:p>
      <w:pPr>
        <w:numPr>
          <w:ilvl w:val="0"/>
          <w:numId w:val="1007"/>
        </w:numPr>
        <w:pStyle w:val="Compact"/>
      </w:pPr>
      <w:r>
        <w:t xml:space="preserve">Se confirma el alcance, los criterios y el calendario.</w:t>
      </w:r>
    </w:p>
    <w:p>
      <w:pPr>
        <w:numPr>
          <w:ilvl w:val="0"/>
          <w:numId w:val="1007"/>
        </w:numPr>
        <w:pStyle w:val="Compact"/>
      </w:pPr>
      <w:r>
        <w:t xml:space="preserve">Se acuerdan los canales de comunicación y los enlaces operativos.</w:t>
      </w:r>
    </w:p>
    <w:p>
      <w:pPr>
        <w:numPr>
          <w:ilvl w:val="0"/>
          <w:numId w:val="1007"/>
        </w:numPr>
        <w:pStyle w:val="Compact"/>
      </w:pPr>
      <w:r>
        <w:t xml:space="preserve">Se aclaran las dudas previas.</w:t>
      </w:r>
    </w:p>
    <w:bookmarkEnd w:id="37"/>
    <w:bookmarkStart w:id="38" w:name="trabajo-de-campo"/>
    <w:p>
      <w:pPr>
        <w:pStyle w:val="Heading3"/>
      </w:pPr>
      <w:r>
        <w:t xml:space="preserve">6.3 Trabajo de campo</w:t>
      </w:r>
    </w:p>
    <w:p>
      <w:pPr>
        <w:pStyle w:val="FirstParagraph"/>
      </w:pPr>
      <w:r>
        <w:rPr>
          <w:bCs/>
          <w:b/>
        </w:rPr>
        <w:t xml:space="preserve">Paso 4.</w:t>
      </w:r>
      <w:r>
        <w:t xml:space="preserve"> </w:t>
      </w:r>
      <w:r>
        <w:t xml:space="preserve">El equipo auditor realiza el trabajo de campo aplicando una combinación de las siguientes técnicas: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Revisión documental:</w:t>
      </w:r>
      <w:r>
        <w:t xml:space="preserve"> </w:t>
      </w:r>
      <w:r>
        <w:t xml:space="preserve">revisión de las políticas, procedimientos, registros, actas, informes y demás documentación del SGSI.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Entrevistas:</w:t>
      </w:r>
      <w:r>
        <w:t xml:space="preserve"> </w:t>
      </w:r>
      <w:r>
        <w:t xml:space="preserve">entrevistas estructuradas con los responsables y operadores de los procesos, basadas en preguntas estándar (Anexo II).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Observación:</w:t>
      </w:r>
      <w:r>
        <w:t xml:space="preserve"> </w:t>
      </w:r>
      <w:r>
        <w:t xml:space="preserve">observación directa de la ejecución de los procesos.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Pruebas de cumplimiento:</w:t>
      </w:r>
      <w:r>
        <w:t xml:space="preserve"> </w:t>
      </w:r>
      <w:r>
        <w:t xml:space="preserve">verificación práctica del cumplimiento de los controles mediante muestras representativas.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Pruebas técnicas:</w:t>
      </w:r>
      <w:r>
        <w:t xml:space="preserve"> </w:t>
      </w:r>
      <w:r>
        <w:t xml:space="preserve">ejecución de pruebas técnicas concretas (revisión de configuraciones, escaneos, pruebas de control de acceso, verificación de logs).</w:t>
      </w:r>
    </w:p>
    <w:p>
      <w:pPr>
        <w:pStyle w:val="FirstParagraph"/>
      </w:pPr>
      <w:r>
        <w:rPr>
          <w:bCs/>
          <w:b/>
        </w:rPr>
        <w:t xml:space="preserve">Paso 5.</w:t>
      </w:r>
      <w:r>
        <w:t xml:space="preserve"> </w:t>
      </w:r>
      <w:r>
        <w:t xml:space="preserve">Cada hallazgo se documenta indicando:</w:t>
      </w:r>
    </w:p>
    <w:p>
      <w:pPr>
        <w:numPr>
          <w:ilvl w:val="0"/>
          <w:numId w:val="1009"/>
        </w:numPr>
        <w:pStyle w:val="Compact"/>
      </w:pPr>
      <w:r>
        <w:t xml:space="preserve">Criterio de auditoría aplicado.</w:t>
      </w:r>
    </w:p>
    <w:p>
      <w:pPr>
        <w:numPr>
          <w:ilvl w:val="0"/>
          <w:numId w:val="1009"/>
        </w:numPr>
        <w:pStyle w:val="Compact"/>
      </w:pPr>
      <w:r>
        <w:t xml:space="preserve">Evidencia objetiva observada.</w:t>
      </w:r>
    </w:p>
    <w:p>
      <w:pPr>
        <w:numPr>
          <w:ilvl w:val="0"/>
          <w:numId w:val="1009"/>
        </w:numPr>
        <w:pStyle w:val="Compact"/>
      </w:pPr>
      <w:r>
        <w:t xml:space="preserve">Conformidad o no conformidad.</w:t>
      </w:r>
    </w:p>
    <w:p>
      <w:pPr>
        <w:numPr>
          <w:ilvl w:val="0"/>
          <w:numId w:val="1009"/>
        </w:numPr>
        <w:pStyle w:val="Compact"/>
      </w:pPr>
      <w:r>
        <w:t xml:space="preserve">En caso de no conformidad, su tipificación (ver apartado 7).</w:t>
      </w:r>
    </w:p>
    <w:bookmarkEnd w:id="38"/>
    <w:bookmarkStart w:id="39" w:name="reunión-de-cierre"/>
    <w:p>
      <w:pPr>
        <w:pStyle w:val="Heading3"/>
      </w:pPr>
      <w:r>
        <w:t xml:space="preserve">6.4 Reunión de cierre</w:t>
      </w:r>
    </w:p>
    <w:p>
      <w:pPr>
        <w:pStyle w:val="FirstParagraph"/>
      </w:pPr>
      <w:r>
        <w:rPr>
          <w:bCs/>
          <w:b/>
        </w:rPr>
        <w:t xml:space="preserve">Paso 6.</w:t>
      </w:r>
      <w:r>
        <w:t xml:space="preserve"> </w:t>
      </w:r>
      <w:r>
        <w:t xml:space="preserve">Al finalizar el trabajo de campo se celebra una</w:t>
      </w:r>
      <w:r>
        <w:t xml:space="preserve"> </w:t>
      </w:r>
      <w:r>
        <w:rPr>
          <w:bCs/>
          <w:b/>
        </w:rPr>
        <w:t xml:space="preserve">reunión de cierre</w:t>
      </w:r>
      <w:r>
        <w:t xml:space="preserve"> </w:t>
      </w:r>
      <w:r>
        <w:t xml:space="preserve">en la que el equipo auditor presenta los principales hallazgos a las áreas auditadas, recoge sus comentarios y aclara posibles malentendidos.</w:t>
      </w:r>
    </w:p>
    <w:bookmarkEnd w:id="39"/>
    <w:bookmarkStart w:id="40" w:name="informe-de-auditoría"/>
    <w:p>
      <w:pPr>
        <w:pStyle w:val="Heading3"/>
      </w:pPr>
      <w:r>
        <w:t xml:space="preserve">6.5 Informe de auditoría</w:t>
      </w:r>
    </w:p>
    <w:p>
      <w:pPr>
        <w:pStyle w:val="FirstParagraph"/>
      </w:pPr>
      <w:r>
        <w:rPr>
          <w:bCs/>
          <w:b/>
        </w:rPr>
        <w:t xml:space="preserve">Paso 7.</w:t>
      </w:r>
      <w:r>
        <w:t xml:space="preserve"> </w:t>
      </w:r>
      <w:r>
        <w:t xml:space="preserve">En el plazo máximo de</w:t>
      </w:r>
      <w:r>
        <w:t xml:space="preserve"> </w:t>
      </w:r>
      <w:r>
        <w:rPr>
          <w:bCs/>
          <w:b/>
        </w:rPr>
        <w:t xml:space="preserve">15 días naturales</w:t>
      </w:r>
      <w:r>
        <w:t xml:space="preserve"> </w:t>
      </w:r>
      <w:r>
        <w:t xml:space="preserve">desde la reunión de cierre, el equipo auditor elabora el</w:t>
      </w:r>
      <w:r>
        <w:t xml:space="preserve"> </w:t>
      </w:r>
      <w:r>
        <w:rPr>
          <w:bCs/>
          <w:b/>
        </w:rPr>
        <w:t xml:space="preserve">Informe de Auditoría Interna</w:t>
      </w:r>
      <w:r>
        <w:t xml:space="preserve"> </w:t>
      </w:r>
      <w:r>
        <w:t xml:space="preserve">que incluirá:</w:t>
      </w:r>
    </w:p>
    <w:p>
      <w:pPr>
        <w:numPr>
          <w:ilvl w:val="0"/>
          <w:numId w:val="1010"/>
        </w:numPr>
        <w:pStyle w:val="Compact"/>
      </w:pPr>
      <w:r>
        <w:t xml:space="preserve">Resumen ejecutivo.</w:t>
      </w:r>
    </w:p>
    <w:p>
      <w:pPr>
        <w:numPr>
          <w:ilvl w:val="0"/>
          <w:numId w:val="1010"/>
        </w:numPr>
        <w:pStyle w:val="Compact"/>
      </w:pPr>
      <w:r>
        <w:t xml:space="preserve">Alcance, objetivos y criterios de la auditoría.</w:t>
      </w:r>
    </w:p>
    <w:p>
      <w:pPr>
        <w:numPr>
          <w:ilvl w:val="0"/>
          <w:numId w:val="1010"/>
        </w:numPr>
        <w:pStyle w:val="Compact"/>
      </w:pPr>
      <w:r>
        <w:t xml:space="preserve">Equipo auditor y áreas auditadas.</w:t>
      </w:r>
    </w:p>
    <w:p>
      <w:pPr>
        <w:numPr>
          <w:ilvl w:val="0"/>
          <w:numId w:val="1010"/>
        </w:numPr>
        <w:pStyle w:val="Compact"/>
      </w:pPr>
      <w:r>
        <w:t xml:space="preserve">Metodología empleada.</w:t>
      </w:r>
    </w:p>
    <w:p>
      <w:pPr>
        <w:numPr>
          <w:ilvl w:val="0"/>
          <w:numId w:val="1010"/>
        </w:numPr>
        <w:pStyle w:val="Compact"/>
      </w:pPr>
      <w:r>
        <w:t xml:space="preserve">Resumen de hallazgos.</w:t>
      </w:r>
    </w:p>
    <w:p>
      <w:pPr>
        <w:numPr>
          <w:ilvl w:val="0"/>
          <w:numId w:val="1010"/>
        </w:numPr>
        <w:pStyle w:val="Compact"/>
      </w:pPr>
      <w:r>
        <w:t xml:space="preserve">Detalle de cada no conformidad y observación.</w:t>
      </w:r>
    </w:p>
    <w:p>
      <w:pPr>
        <w:numPr>
          <w:ilvl w:val="0"/>
          <w:numId w:val="1010"/>
        </w:numPr>
        <w:pStyle w:val="Compact"/>
      </w:pPr>
      <w:r>
        <w:t xml:space="preserve">Recomendaciones de mejora.</w:t>
      </w:r>
    </w:p>
    <w:p>
      <w:pPr>
        <w:numPr>
          <w:ilvl w:val="0"/>
          <w:numId w:val="1010"/>
        </w:numPr>
        <w:pStyle w:val="Compact"/>
      </w:pPr>
      <w:r>
        <w:t xml:space="preserve">Conclusiones generales y valoración global del SGSI.</w:t>
      </w:r>
    </w:p>
    <w:p>
      <w:pPr>
        <w:pStyle w:val="FirstParagraph"/>
      </w:pPr>
      <w:r>
        <w:rPr>
          <w:bCs/>
          <w:b/>
        </w:rPr>
        <w:t xml:space="preserve">Paso 8.</w:t>
      </w:r>
      <w:r>
        <w:t xml:space="preserve"> </w:t>
      </w:r>
      <w:r>
        <w:t xml:space="preserve">El Informe se eleva al Comité de Seguridad y, en su caso, a {{ cliente.organo_aprobador_politicas }}.</w:t>
      </w:r>
    </w:p>
    <w:bookmarkEnd w:id="40"/>
    <w:bookmarkEnd w:id="41"/>
    <w:bookmarkStart w:id="42" w:name="tipificación-de-hallazgos"/>
    <w:p>
      <w:pPr>
        <w:pStyle w:val="Heading2"/>
      </w:pPr>
      <w:r>
        <w:t xml:space="preserve">7. TIPIFICACIÓN DE HALLAZGOS</w:t>
      </w:r>
    </w:p>
    <w:p>
      <w:pPr>
        <w:pStyle w:val="FirstParagraph"/>
      </w:pPr>
      <w:r>
        <w:t xml:space="preserve">Los hallazgos de auditoría se tipifican conforme a la siguiente escala: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conformidad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Incumplimiento sistemático de un requisito esencial, ausencia total de un control crítico, o conjunto de no conformidades menores que en agregado evidencian un fallo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acción correctivo en 15 días, ejecución máxima en 90 días, verificación obligatoria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conformidad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Incumplimiento puntual o aislado, fallo en un control no crítico o ineficacia parcial de una medida implantada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acción correctivo en 30 días, ejecución máxima en 180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formal pero con potencial mejora, hallazgo que sin ser incumplimiento merece atención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y, en su caso, plan de mejora voluntario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Oportunidad de 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del auditor para optimizar el SGSI, sin que exista incumplimiento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del Comité de Seguridad</w:t>
            </w:r>
          </w:p>
        </w:tc>
      </w:tr>
    </w:tbl>
    <w:bookmarkEnd w:id="42"/>
    <w:bookmarkStart w:id="43" w:name="plan-de-acción-correctiva"/>
    <w:p>
      <w:pPr>
        <w:pStyle w:val="Heading2"/>
      </w:pPr>
      <w:r>
        <w:t xml:space="preserve">8. PLAN DE ACCIÓN CORRECTIVA</w:t>
      </w:r>
    </w:p>
    <w:p>
      <w:pPr>
        <w:pStyle w:val="FirstParagraph"/>
      </w:pPr>
      <w:r>
        <w:rPr>
          <w:bCs/>
          <w:b/>
        </w:rPr>
        <w:t xml:space="preserve">Paso 9.</w:t>
      </w:r>
      <w:r>
        <w:t xml:space="preserve"> </w:t>
      </w:r>
      <w:r>
        <w:t xml:space="preserve">Para cada no conformidad detectada, el responsable del área auditada elabora un</w:t>
      </w:r>
      <w:r>
        <w:t xml:space="preserve"> </w:t>
      </w:r>
      <w:r>
        <w:rPr>
          <w:bCs/>
          <w:b/>
        </w:rPr>
        <w:t xml:space="preserve">Plan de Acción Correctiva</w:t>
      </w:r>
      <w:r>
        <w:t xml:space="preserve"> </w:t>
      </w:r>
      <w:r>
        <w:t xml:space="preserve">(PAC) que incluya:</w:t>
      </w:r>
    </w:p>
    <w:p>
      <w:pPr>
        <w:numPr>
          <w:ilvl w:val="0"/>
          <w:numId w:val="1011"/>
        </w:numPr>
        <w:pStyle w:val="Compact"/>
      </w:pPr>
      <w:r>
        <w:t xml:space="preserve">Análisis de la causa raíz del hallazgo.</w:t>
      </w:r>
    </w:p>
    <w:p>
      <w:pPr>
        <w:numPr>
          <w:ilvl w:val="0"/>
          <w:numId w:val="1011"/>
        </w:numPr>
        <w:pStyle w:val="Compact"/>
      </w:pPr>
      <w:r>
        <w:t xml:space="preserve">Acciones correctivas a implantar.</w:t>
      </w:r>
    </w:p>
    <w:p>
      <w:pPr>
        <w:numPr>
          <w:ilvl w:val="0"/>
          <w:numId w:val="1011"/>
        </w:numPr>
        <w:pStyle w:val="Compact"/>
      </w:pPr>
      <w:r>
        <w:t xml:space="preserve">Acciones preventivas para evitar la repetición.</w:t>
      </w:r>
    </w:p>
    <w:p>
      <w:pPr>
        <w:numPr>
          <w:ilvl w:val="0"/>
          <w:numId w:val="1011"/>
        </w:numPr>
        <w:pStyle w:val="Compact"/>
      </w:pPr>
      <w:r>
        <w:t xml:space="preserve">Responsable de cada acción.</w:t>
      </w:r>
    </w:p>
    <w:p>
      <w:pPr>
        <w:numPr>
          <w:ilvl w:val="0"/>
          <w:numId w:val="1011"/>
        </w:numPr>
        <w:pStyle w:val="Compact"/>
      </w:pPr>
      <w:r>
        <w:t xml:space="preserve">Plazo de ejecución.</w:t>
      </w:r>
    </w:p>
    <w:p>
      <w:pPr>
        <w:numPr>
          <w:ilvl w:val="0"/>
          <w:numId w:val="1011"/>
        </w:numPr>
        <w:pStyle w:val="Compact"/>
      </w:pPr>
      <w:r>
        <w:t xml:space="preserve">Indicador para verificar el cierre.</w:t>
      </w:r>
    </w:p>
    <w:p>
      <w:pPr>
        <w:pStyle w:val="FirstParagraph"/>
      </w:pPr>
      <w:r>
        <w:rPr>
          <w:bCs/>
          <w:b/>
        </w:rPr>
        <w:t xml:space="preserve">Paso 10.</w:t>
      </w:r>
      <w:r>
        <w:t xml:space="preserve"> </w:t>
      </w:r>
      <w:r>
        <w:t xml:space="preserve">El PAC se eleva al Responsable de la Seguridad para su aprobación, y posteriormente al Comité de Seguridad para conocimiento.</w:t>
      </w:r>
    </w:p>
    <w:bookmarkEnd w:id="43"/>
    <w:bookmarkStart w:id="44" w:name="seguimiento-y-cierre"/>
    <w:p>
      <w:pPr>
        <w:pStyle w:val="Heading2"/>
      </w:pPr>
      <w:r>
        <w:t xml:space="preserve">9. SEGUIMIENTO Y CIERRE</w:t>
      </w:r>
    </w:p>
    <w:p>
      <w:pPr>
        <w:pStyle w:val="FirstParagraph"/>
      </w:pPr>
      <w:r>
        <w:rPr>
          <w:bCs/>
          <w:b/>
        </w:rPr>
        <w:t xml:space="preserve">Paso 11.</w:t>
      </w:r>
      <w:r>
        <w:t xml:space="preserve"> </w:t>
      </w:r>
      <w:r>
        <w:t xml:space="preserve">El Responsable de la Seguridad realiza el seguimiento del cumplimiento de los PAC, registrando el avance en el sistema de gestión del SGSI.</w:t>
      </w:r>
    </w:p>
    <w:p>
      <w:pPr>
        <w:pStyle w:val="BodyText"/>
      </w:pPr>
      <w:r>
        <w:rPr>
          <w:bCs/>
          <w:b/>
        </w:rPr>
        <w:t xml:space="preserve">Paso 12.</w:t>
      </w:r>
      <w:r>
        <w:t xml:space="preserve"> </w:t>
      </w:r>
      <w:r>
        <w:t xml:space="preserve">Una vez completadas las acciones correctivas, se realiza una</w:t>
      </w:r>
      <w:r>
        <w:t xml:space="preserve"> </w:t>
      </w:r>
      <w:r>
        <w:rPr>
          <w:bCs/>
          <w:b/>
        </w:rPr>
        <w:t xml:space="preserve">verificación del cierre</w:t>
      </w:r>
      <w:r>
        <w:t xml:space="preserve">, que puede consistir en:</w:t>
      </w:r>
    </w:p>
    <w:p>
      <w:pPr>
        <w:numPr>
          <w:ilvl w:val="0"/>
          <w:numId w:val="1012"/>
        </w:numPr>
        <w:pStyle w:val="Compact"/>
      </w:pPr>
      <w:r>
        <w:t xml:space="preserve">Revisión documental de las evidencias aportadas.</w:t>
      </w:r>
    </w:p>
    <w:p>
      <w:pPr>
        <w:numPr>
          <w:ilvl w:val="0"/>
          <w:numId w:val="1012"/>
        </w:numPr>
        <w:pStyle w:val="Compact"/>
      </w:pPr>
      <w:r>
        <w:t xml:space="preserve">Auditoría parcial de seguimiento.</w:t>
      </w:r>
    </w:p>
    <w:p>
      <w:pPr>
        <w:numPr>
          <w:ilvl w:val="0"/>
          <w:numId w:val="1012"/>
        </w:numPr>
        <w:pStyle w:val="Compact"/>
      </w:pPr>
      <w:r>
        <w:t xml:space="preserve">Verificación in situ por parte del auditor original.</w:t>
      </w:r>
    </w:p>
    <w:p>
      <w:pPr>
        <w:pStyle w:val="FirstParagraph"/>
      </w:pPr>
      <w:r>
        <w:rPr>
          <w:bCs/>
          <w:b/>
        </w:rPr>
        <w:t xml:space="preserve">Paso 13.</w:t>
      </w:r>
      <w:r>
        <w:t xml:space="preserve"> </w:t>
      </w:r>
      <w:r>
        <w:t xml:space="preserve">Las no conformidades verificadas se cierran formalmente. Las no verificadas o cuya solución no resulta satisfactoria permanecen abiertas y se reportan al Comité de Seguridad.</w:t>
      </w:r>
    </w:p>
    <w:bookmarkEnd w:id="44"/>
    <w:bookmarkStart w:id="45" w:name="relación-con-la-auditoría-externa"/>
    <w:p>
      <w:pPr>
        <w:pStyle w:val="Heading2"/>
      </w:pPr>
      <w:r>
        <w:t xml:space="preserve">10. RELACIÓN CON LA AUDITORÍA EXTERNA</w:t>
      </w:r>
    </w:p>
    <w:p>
      <w:pPr>
        <w:pStyle w:val="FirstParagraph"/>
      </w:pPr>
      <w:r>
        <w:rPr>
          <w:bCs/>
          <w:b/>
        </w:rPr>
        <w:t xml:space="preserve">Paso 14.</w:t>
      </w:r>
      <w:r>
        <w:t xml:space="preserve"> </w:t>
      </w:r>
      <w:r>
        <w:t xml:space="preserve">Los resultados de la auditoría interna se ponen a disposición del auditor externo de certificación (entidad ENAC) cuando lo solicite. La existencia de auditoría interna eficaz se considerará por el auditor externo como evidencia de la</w:t>
      </w:r>
      <w:r>
        <w:t xml:space="preserve"> </w:t>
      </w:r>
      <w:r>
        <w:rPr>
          <w:bCs/>
          <w:b/>
        </w:rPr>
        <w:t xml:space="preserve">madurez del SGSI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Paso 15.</w:t>
      </w:r>
      <w:r>
        <w:t xml:space="preserve"> </w:t>
      </w:r>
      <w:r>
        <w:t xml:space="preserve">Las no conformidades detectadas en la auditoría interna y no resueltas pueden ser detectadas también por el auditor externo, por lo que es responsabilidad del SGSI cerrarlas con anticipación a la auditoría externa.</w:t>
      </w:r>
    </w:p>
    <w:bookmarkEnd w:id="45"/>
    <w:bookmarkStart w:id="46" w:name="indicadores"/>
    <w:p>
      <w:pPr>
        <w:pStyle w:val="Heading2"/>
      </w:pPr>
      <w:r>
        <w:t xml:space="preserve">11.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interna anual realizada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 al año)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del Plan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 del alcance previsto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conformidades mayores cerradas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conformidades menores cerradas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conformidades repetidas año a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Antelación de la auditoría interna respecto a la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meses</w:t>
            </w:r>
          </w:p>
        </w:tc>
      </w:tr>
    </w:tbl>
    <w:bookmarkEnd w:id="46"/>
    <w:bookmarkStart w:id="47" w:name="anexos"/>
    <w:p>
      <w:pPr>
        <w:pStyle w:val="Heading2"/>
      </w:pPr>
      <w:r>
        <w:t xml:space="preserve">12. ANEXOS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Plantilla del Plan de Auditoría Interna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Cuestionarios estándar de entrevista por área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Plantilla del Informe de Auditoría Interna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Plantilla del Plan de Acción Correctiva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Lista de comprobación de cumplimiento ENS basada en CCN-STIC 808 Anexo III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}}-234 — Versión {{ proyecto.version_actual }} — Clasificación: INTERNA</w:t>
      </w:r>
    </w:p>
    <w:bookmarkEnd w:id="47"/>
    <w:bookmarkEnd w:id="48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E-218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E-218 · Procedimiento de Auditoría Interna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}}-234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olitica_madre">
    <vt:lpwstr>{{ proyecto.codigo_documento_base }}-100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Procedimiento de Auditoría Interna del SGSI</vt:lpwstr>
  </property>
  <property fmtid="{D5CDD505-2E9C-101B-9397-08002B2CF9AE}" pid="9" name="version">
    <vt:lpwstr>{{ proyecto.version_actual }}</vt:lpwstr>
  </property>
</Properties>
</file>