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149a00a8a0173722d1d113869e7348d1741d16"/>
    <w:p>
      <w:pPr>
        <w:pStyle w:val="Heading1"/>
      </w:pPr>
      <w:r>
        <w:t xml:space="preserve">PROCEDIMIENTO DE REVISIÓN POR LA DIRECCIÓN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}}-219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flujo mediante el cual {{ cliente.organo_aprobador_politicas }} revisa, al menos anualmente, el estado del SGSI, valora su adecuación, eficacia y alineación con los objetivos de la Entidad, y adopta las decisiones de mejora que procedan.</w:t>
      </w:r>
    </w:p>
    <w:bookmarkEnd w:id="20"/>
    <w:bookmarkStart w:id="21" w:name="periodicidad"/>
    <w:p>
      <w:pPr>
        <w:pStyle w:val="Heading2"/>
      </w:pPr>
      <w:r>
        <w:t xml:space="preserve">2. PERIODICIDAD</w:t>
      </w:r>
    </w:p>
    <w:p>
      <w:pPr>
        <w:pStyle w:val="FirstParagraph"/>
      </w:pPr>
      <w:r>
        <w:t xml:space="preserve">La revisión por la dirección se realizará con carácter ordinario</w:t>
      </w:r>
      <w:r>
        <w:t xml:space="preserve"> </w:t>
      </w:r>
      <w:r>
        <w:rPr>
          <w:bCs/>
          <w:b/>
        </w:rPr>
        <w:t xml:space="preserve">al menos una vez al año</w:t>
      </w:r>
      <w:r>
        <w:t xml:space="preserve">, y con carácter extraordinario cuando lo requieran circunstancias excepcionales (incidente grave, cambio normativo mayor, reestructuración organizativa).</w:t>
      </w:r>
    </w:p>
    <w:bookmarkEnd w:id="21"/>
    <w:bookmarkStart w:id="22" w:name="entradas-input"/>
    <w:p>
      <w:pPr>
        <w:pStyle w:val="Heading2"/>
      </w:pPr>
      <w:r>
        <w:t xml:space="preserve">3. ENTRADAS (INPUT)</w:t>
      </w:r>
    </w:p>
    <w:p>
      <w:pPr>
        <w:pStyle w:val="FirstParagraph"/>
      </w:pPr>
      <w:r>
        <w:t xml:space="preserve">El Responsable de la Seguridad preparará y presentará a la dirección:</w:t>
      </w:r>
    </w:p>
    <w:p>
      <w:pPr>
        <w:numPr>
          <w:ilvl w:val="0"/>
          <w:numId w:val="1001"/>
        </w:numPr>
      </w:pPr>
      <w:r>
        <w:t xml:space="preserve">Estado de las acciones derivadas de revisiones anteriores.</w:t>
      </w:r>
    </w:p>
    <w:p>
      <w:pPr>
        <w:numPr>
          <w:ilvl w:val="0"/>
          <w:numId w:val="1001"/>
        </w:numPr>
      </w:pPr>
      <w:r>
        <w:t xml:space="preserve">Cambios en cuestiones internas y externas relevantes para el SGSI (contexto, normativa, amenazas, organización).</w:t>
      </w:r>
    </w:p>
    <w:p>
      <w:pPr>
        <w:numPr>
          <w:ilvl w:val="0"/>
          <w:numId w:val="1001"/>
        </w:numPr>
      </w:pPr>
      <w:r>
        <w:t xml:space="preserve">Resultados de las auditorías internas y externas.</w:t>
      </w:r>
    </w:p>
    <w:p>
      <w:pPr>
        <w:numPr>
          <w:ilvl w:val="0"/>
          <w:numId w:val="1001"/>
        </w:numPr>
      </w:pPr>
      <w:r>
        <w:t xml:space="preserve">Resumen de incidentes de seguridad del periodo y su gestión.</w:t>
      </w:r>
    </w:p>
    <w:p>
      <w:pPr>
        <w:numPr>
          <w:ilvl w:val="0"/>
          <w:numId w:val="1001"/>
        </w:numPr>
      </w:pPr>
      <w:r>
        <w:t xml:space="preserve">Estado del análisis de riesgos y del plan de tratamiento.</w:t>
      </w:r>
    </w:p>
    <w:p>
      <w:pPr>
        <w:numPr>
          <w:ilvl w:val="0"/>
          <w:numId w:val="1001"/>
        </w:numPr>
      </w:pPr>
      <w:r>
        <w:t xml:space="preserve">Estado de cumplimiento de las medidas del Anexo II (informe de la Declaración de Aplicabilidad).</w:t>
      </w:r>
    </w:p>
    <w:p>
      <w:pPr>
        <w:numPr>
          <w:ilvl w:val="0"/>
          <w:numId w:val="1001"/>
        </w:numPr>
      </w:pPr>
      <w:r>
        <w:t xml:space="preserve">Indicadores de rendimiento del SGSI (KPIs definidos en los procedimientos).</w:t>
      </w:r>
    </w:p>
    <w:p>
      <w:pPr>
        <w:numPr>
          <w:ilvl w:val="0"/>
          <w:numId w:val="1001"/>
        </w:numPr>
      </w:pPr>
      <w:r>
        <w:t xml:space="preserve">Resultados de las pruebas de continuidad.</w:t>
      </w:r>
    </w:p>
    <w:p>
      <w:pPr>
        <w:numPr>
          <w:ilvl w:val="0"/>
          <w:numId w:val="1001"/>
        </w:numPr>
      </w:pPr>
      <w:r>
        <w:t xml:space="preserve">Resultado de los simulacros de phishing y métricas de formación.</w:t>
      </w:r>
    </w:p>
    <w:p>
      <w:pPr>
        <w:numPr>
          <w:ilvl w:val="0"/>
          <w:numId w:val="1001"/>
        </w:numPr>
      </w:pPr>
      <w:r>
        <w:t xml:space="preserve">Oportunidades de mejora identificadas.</w:t>
      </w:r>
    </w:p>
    <w:p>
      <w:pPr>
        <w:numPr>
          <w:ilvl w:val="0"/>
          <w:numId w:val="1001"/>
        </w:numPr>
      </w:pPr>
      <w:r>
        <w:t xml:space="preserve">Estado del presupuesto de seguridad.</w:t>
      </w:r>
    </w:p>
    <w:bookmarkEnd w:id="22"/>
    <w:bookmarkStart w:id="23" w:name="salidas-output"/>
    <w:p>
      <w:pPr>
        <w:pStyle w:val="Heading2"/>
      </w:pPr>
      <w:r>
        <w:t xml:space="preserve">4. SALIDAS (OUTPUT)</w:t>
      </w:r>
    </w:p>
    <w:p>
      <w:pPr>
        <w:pStyle w:val="FirstParagraph"/>
      </w:pPr>
      <w:r>
        <w:t xml:space="preserve">La dirección adoptará decisiones documentadas sobre:</w:t>
      </w:r>
    </w:p>
    <w:p>
      <w:pPr>
        <w:numPr>
          <w:ilvl w:val="0"/>
          <w:numId w:val="1002"/>
        </w:numPr>
      </w:pPr>
      <w:r>
        <w:t xml:space="preserve">Oportunidades de mejora y acciones a emprender.</w:t>
      </w:r>
    </w:p>
    <w:p>
      <w:pPr>
        <w:numPr>
          <w:ilvl w:val="0"/>
          <w:numId w:val="1002"/>
        </w:numPr>
      </w:pPr>
      <w:r>
        <w:t xml:space="preserve">Necesidades de cambio en la Política de Seguridad o en la normativa interna.</w:t>
      </w:r>
    </w:p>
    <w:p>
      <w:pPr>
        <w:numPr>
          <w:ilvl w:val="0"/>
          <w:numId w:val="1002"/>
        </w:numPr>
      </w:pPr>
      <w:r>
        <w:t xml:space="preserve">Necesidades de recursos (humanos, técnicos, económicos).</w:t>
      </w:r>
    </w:p>
    <w:p>
      <w:pPr>
        <w:numPr>
          <w:ilvl w:val="0"/>
          <w:numId w:val="1002"/>
        </w:numPr>
      </w:pPr>
      <w:r>
        <w:t xml:space="preserve">Aceptación o no de los riesgos residuales actualizados.</w:t>
      </w:r>
    </w:p>
    <w:p>
      <w:pPr>
        <w:numPr>
          <w:ilvl w:val="0"/>
          <w:numId w:val="1002"/>
        </w:numPr>
      </w:pPr>
      <w:r>
        <w:t xml:space="preserve">Actualización de los objetivos de seguridad si procede.</w:t>
      </w:r>
    </w:p>
    <w:bookmarkEnd w:id="23"/>
    <w:bookmarkStart w:id="24" w:name="registro"/>
    <w:p>
      <w:pPr>
        <w:pStyle w:val="Heading2"/>
      </w:pPr>
      <w:r>
        <w:t xml:space="preserve">5. REGISTRO</w:t>
      </w:r>
    </w:p>
    <w:p>
      <w:pPr>
        <w:pStyle w:val="FirstParagraph"/>
      </w:pPr>
      <w:r>
        <w:t xml:space="preserve">Las decisiones se documentarán en</w:t>
      </w:r>
      <w:r>
        <w:t xml:space="preserve"> </w:t>
      </w:r>
      <w:r>
        <w:rPr>
          <w:bCs/>
          <w:b/>
        </w:rPr>
        <w:t xml:space="preserve">acta de revisión por la dirección</w:t>
      </w:r>
      <w:r>
        <w:t xml:space="preserve"> </w:t>
      </w:r>
      <w:r>
        <w:t xml:space="preserve">firmada por el presidente de la sesión, que se conservará conforme al procedimiento de gestión documental ({{ proyecto.codigo_documento_base }}-221).</w:t>
      </w:r>
    </w:p>
    <w:bookmarkEnd w:id="24"/>
    <w:bookmarkStart w:id="25" w:name="indicadores"/>
    <w:p>
      <w:pPr>
        <w:pStyle w:val="Heading2"/>
      </w:pPr>
      <w:r>
        <w:t xml:space="preserve">6.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Revisiones por la dirección realizadas en el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Acciones derivadas cerradas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}}-219 — Versión {{ proyecto.version_actual }} — Clasificación: INTERNA</w:t>
      </w:r>
    </w:p>
    <w:bookmarkEnd w:id="25"/>
    <w:bookmarkEnd w:id="26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E-219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E-219 · PROCEDIMIENTO DE REVISIÓN POR LA DIRECCIÓN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}}-219</vt:lpwstr>
  </property>
  <property fmtid="{D5CDD505-2E9C-101B-9397-08002B2CF9AE}" pid="4" name="politica_madre">
    <vt:lpwstr>{{ proyecto.codigo_documento_base }}-100</vt:lpwstr>
  </property>
  <property fmtid="{D5CDD505-2E9C-101B-9397-08002B2CF9AE}" pid="5" name="titulo">
    <vt:lpwstr>Procedimiento de Revisión por la Dirección</vt:lpwstr>
  </property>
  <property fmtid="{D5CDD505-2E9C-101B-9397-08002B2CF9AE}" pid="6" name="version">
    <vt:lpwstr>{{ proyecto.version_actual }}</vt:lpwstr>
  </property>
</Properties>
</file>