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d39ca64416ba0b019ac16d68530689715d5ca1"/>
    <w:p>
      <w:pPr>
        <w:pStyle w:val="Heading1"/>
      </w:pPr>
      <w:r>
        <w:t xml:space="preserve">PROCEDIMIENTO DE GESTIÓN DE NO CONFORMIDADES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}}-220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para el registro, análisis, tratamiento, seguimiento y cierre de las no conformidades detectadas en el SGSI, ya provengan de auditorías internas, auditorías externas, revisiones por la dirección, incidentes de seguridad o cualquier otra fuente.</w:t>
      </w:r>
    </w:p>
    <w:bookmarkEnd w:id="20"/>
    <w:bookmarkStart w:id="21" w:name="clasificación"/>
    <w:p>
      <w:pPr>
        <w:pStyle w:val="Heading2"/>
      </w:pPr>
      <w:r>
        <w:t xml:space="preserve">2. CLASIFICACIÓN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 máximo de 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Incumplimiento sistemático, ausencia total de control crítico, fallo sistémico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Incumplimiento puntual, fallo aislado no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 formal con potencial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en 90 días, acción voluntaria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Oportunidad de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 sin incumplimiento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por el Comité</w:t>
            </w:r>
          </w:p>
        </w:tc>
      </w:tr>
    </w:tbl>
    <w:bookmarkEnd w:id="21"/>
    <w:bookmarkStart w:id="22" w:name="flujo-operativo"/>
    <w:p>
      <w:pPr>
        <w:pStyle w:val="Heading2"/>
      </w:pPr>
      <w:r>
        <w:t xml:space="preserve">3.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la NC en el</w:t>
            </w:r>
            <w:r>
              <w:t xml:space="preserve"> </w:t>
            </w:r>
            <w:r>
              <w:rPr>
                <w:bCs/>
                <w:b/>
              </w:rPr>
              <w:t xml:space="preserve">Registro de No Conformidades</w:t>
            </w:r>
            <w:r>
              <w:t xml:space="preserve"> </w:t>
            </w:r>
            <w:r>
              <w:t xml:space="preserve">con: fuente, descripción, evidencia, clasificación, área afectada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Quien la detecta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al</w:t>
            </w:r>
            <w:r>
              <w:t xml:space="preserve"> </w:t>
            </w:r>
            <w:r>
              <w:rPr>
                <w:bCs/>
                <w:b/>
              </w:rPr>
              <w:t xml:space="preserve">responsable del área afectada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Análisis de causa raíz</w:t>
            </w:r>
            <w:r>
              <w:t xml:space="preserve"> </w:t>
            </w:r>
            <w:r>
              <w:t xml:space="preserve">(5 Whys, Ishikawa u otra técnica apropiada)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del 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Elaboración del</w:t>
            </w:r>
            <w:r>
              <w:t xml:space="preserve"> </w:t>
            </w:r>
            <w:r>
              <w:rPr>
                <w:bCs/>
                <w:b/>
              </w:rPr>
              <w:t xml:space="preserve">Plan de Acción Correctiva (PAC)</w:t>
            </w:r>
            <w:r>
              <w:t xml:space="preserve">: acciones a emprender, responsable de cada acción, plazo, indicador de cierre, acciones preventivas para evitar recurrencia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del 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días tras análisis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del 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días hábiles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Ejecución</w:t>
            </w:r>
            <w:r>
              <w:t xml:space="preserve"> </w:t>
            </w:r>
            <w:r>
              <w:t xml:space="preserve">de las acciones correctivas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del 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de eficacia</w:t>
            </w:r>
            <w:r>
              <w:t xml:space="preserve">: comprobar que la NC no recurrirá. Puede incluir: revisión documental, nueva inspección, nueva auditoría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 (o auditor)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tras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 formal</w:t>
            </w:r>
            <w:r>
              <w:t xml:space="preserve"> </w:t>
            </w:r>
            <w:r>
              <w:t xml:space="preserve">de la NC en el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verificación</w:t>
            </w:r>
          </w:p>
        </w:tc>
      </w:tr>
    </w:tbl>
    <w:bookmarkEnd w:id="22"/>
    <w:bookmarkStart w:id="23" w:name="escalado"/>
    <w:p>
      <w:pPr>
        <w:pStyle w:val="Heading2"/>
      </w:pPr>
      <w:r>
        <w:t xml:space="preserve">4. ESCALADO</w:t>
      </w:r>
    </w:p>
    <w:p>
      <w:pPr>
        <w:pStyle w:val="FirstParagraph"/>
      </w:pPr>
      <w:r>
        <w:t xml:space="preserve">Las NC Mayores no cerradas en plazo se escalan al Comité de Seguridad. Las NC Mayores recurrentes (misma causa raíz detectada en dos ciclos consecutivos) se escalan a {{ cliente.organo_aprobador_politicas }}.</w:t>
      </w:r>
    </w:p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 Mayores cerradas en 90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 Menores cerradas en 180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 recurrentes (misma causa raíz en 2 ciclos)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 aprobados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}}-220 — Versión {{ proyecto.version_actual }} — Clasificación: INTERNA</w:t>
      </w:r>
    </w:p>
    <w:bookmarkEnd w:id="24"/>
    <w:bookmarkEnd w:id="25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E-220 · PROCEDIMIENTO DE GESTIÓN DE NO CONFORMIDADES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2026-04-14T18:00:39Z</dcterms:created>
  <dcterms:modified xsi:type="dcterms:W3CDTF">2026-04-14T18:00:39Z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}}-220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Gestión de No Conformidades y Acciones Correctivas</vt:lpwstr>
  </property>
  <property fmtid="{D5CDD505-2E9C-101B-9397-08002B2CF9AE}" pid="6" name="version">
    <vt:lpwstr>{{ proyecto.version_actual }}</vt:lpwstr>
  </property>
</Properties>
</file>