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d7b37f023aa1641ff5610409b7c4b38e3f742b"/>
    <w:p>
      <w:pPr>
        <w:pStyle w:val="Heading1"/>
      </w:pPr>
      <w:r>
        <w:t xml:space="preserve">PROCEDIMIENTO DE REVISIÓN DE LOGS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}}-223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qué registros de actividad se revisan, con qué frecuencia, por quién, qué se busca y cómo se documentan las revisiones, en cumplimiento de la medida</w:t>
      </w:r>
      <w:r>
        <w:t xml:space="preserve"> </w:t>
      </w:r>
      <w:r>
        <w:rPr>
          <w:bCs/>
          <w:b/>
        </w:rPr>
        <w:t xml:space="preserve">op.exp.8 (Registro de la actividad de los usuarios)</w:t>
      </w:r>
      <w:r>
        <w:t xml:space="preserve"> </w:t>
      </w:r>
      <w:r>
        <w:t xml:space="preserve">del Anexo II del Real Decreto 311/2022.</w:t>
      </w:r>
    </w:p>
    <w:bookmarkEnd w:id="20"/>
    <w:bookmarkStart w:id="21" w:name="fuentes-de-logs"/>
    <w:p>
      <w:pPr>
        <w:pStyle w:val="Heading2"/>
      </w:pPr>
      <w:r>
        <w:t xml:space="preserve">2. FUENTES DE LOGS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eventos registrados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 mínima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SIEM corporativo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Correlación de todos los orígenes</w:t>
            </w:r>
          </w:p>
        </w:tc>
        <w:tc>
          <w:tcPr/>
          <w:p>
            <w:pPr>
              <w:pStyle w:val="Compact"/>
              <w:jc w:val="left"/>
            </w:pPr>
            <w:r>
              <w:t>{% if proyecto.categoria_ens == “ALTA” %}3 años{% elif proyecto.categoria_ens == “MEDIA” %}2 años{% else %}1 año{% endif %}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Servidores (syslog, EventLog)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Inicio/cierre de sesión, cambios de configuración,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Cortafuegos / IDS/IPS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Tráfico permitido/denegado,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Aplicaciones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Accesos, errores, transacciones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autenticación (AD, LDAP, IdP)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Inicios de sesión, fallos, cambios de contraseña, bloqueos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Ejecuciones, fallos, restauraciones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físico (tornos, lectores)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Entradas/salidas a zonas restringidas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año</w:t>
            </w:r>
          </w:p>
        </w:tc>
      </w:tr>
    </w:tbl>
    <w:bookmarkEnd w:id="21"/>
    <w:bookmarkStart w:id="22" w:name="frecuencia-de-revisión"/>
    <w:p>
      <w:pPr>
        <w:pStyle w:val="Heading2"/>
      </w:pPr>
      <w:r>
        <w:t xml:space="preserve">3. FRECUENCIA DE REVISIÓN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automatizada</w:t>
            </w:r>
            <w:r>
              <w:t xml:space="preserve"> </w:t>
            </w:r>
            <w:r>
              <w:t xml:space="preserve">(reglas SIEM, alertas)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 (24/7)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+ 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manual de alertas</w:t>
            </w:r>
            <w:r>
              <w:t xml:space="preserve"> </w:t>
            </w:r>
            <w:r>
              <w:t xml:space="preserve">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de intentos de acceso fallido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de actividad de cuentas privilegiadas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completa de logs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Auditoría de la integridad de los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</w:tbl>
    <w:bookmarkEnd w:id="22"/>
    <w:bookmarkStart w:id="23" w:name="qué-buscar"/>
    <w:p>
      <w:pPr>
        <w:pStyle w:val="Heading2"/>
      </w:pPr>
      <w:r>
        <w:t xml:space="preserve">4. QUÉ BUSCAR</w:t>
      </w:r>
    </w:p>
    <w:p>
      <w:pPr>
        <w:pStyle w:val="FirstParagraph"/>
      </w:pPr>
      <w:r>
        <w:t xml:space="preserve">La revisión buscará, como mínimo:</w:t>
      </w:r>
    </w:p>
    <w:p>
      <w:pPr>
        <w:numPr>
          <w:ilvl w:val="0"/>
          <w:numId w:val="1001"/>
        </w:numPr>
      </w:pPr>
      <w:r>
        <w:t xml:space="preserve">Intentos repetidos de acceso fallido (fuerza bruta, password spraying).</w:t>
      </w:r>
    </w:p>
    <w:p>
      <w:pPr>
        <w:numPr>
          <w:ilvl w:val="0"/>
          <w:numId w:val="1001"/>
        </w:numPr>
      </w:pPr>
      <w:r>
        <w:t xml:space="preserve">Accesos fuera de horario habitual desde cuentas de usuario estándar.</w:t>
      </w:r>
    </w:p>
    <w:p>
      <w:pPr>
        <w:numPr>
          <w:ilvl w:val="0"/>
          <w:numId w:val="1001"/>
        </w:numPr>
      </w:pPr>
      <w:r>
        <w:t xml:space="preserve">Accesos desde ubicaciones o IPs anómalas.</w:t>
      </w:r>
    </w:p>
    <w:p>
      <w:pPr>
        <w:numPr>
          <w:ilvl w:val="0"/>
          <w:numId w:val="1001"/>
        </w:numPr>
      </w:pPr>
      <w:r>
        <w:t xml:space="preserve">Uso de cuentas privilegiadas fuera de ventanas de mantenimiento.</w:t>
      </w:r>
    </w:p>
    <w:p>
      <w:pPr>
        <w:numPr>
          <w:ilvl w:val="0"/>
          <w:numId w:val="1001"/>
        </w:numPr>
      </w:pPr>
      <w:r>
        <w:t xml:space="preserve">Modificaciones no autorizadas de configuraciones críticas.</w:t>
      </w:r>
    </w:p>
    <w:p>
      <w:pPr>
        <w:numPr>
          <w:ilvl w:val="0"/>
          <w:numId w:val="1001"/>
        </w:numPr>
      </w:pPr>
      <w:r>
        <w:t xml:space="preserve">Desactivación o manipulación de los propios logs (anti-tampering).</w:t>
      </w:r>
    </w:p>
    <w:p>
      <w:pPr>
        <w:numPr>
          <w:ilvl w:val="0"/>
          <w:numId w:val="1001"/>
        </w:numPr>
      </w:pPr>
      <w:r>
        <w:t xml:space="preserve">Tráfico de red anómalo (exfiltración, comunicación con IPs maliciosas).</w:t>
      </w:r>
    </w:p>
    <w:p>
      <w:pPr>
        <w:numPr>
          <w:ilvl w:val="0"/>
          <w:numId w:val="1001"/>
        </w:numPr>
      </w:pPr>
      <w:r>
        <w:t xml:space="preserve">Cuentas que no han iniciado sesión en &gt; 90 días (posibles huérfanas).</w:t>
      </w:r>
    </w:p>
    <w:bookmarkEnd w:id="23"/>
    <w:bookmarkStart w:id="24" w:name="documentación-de-la-revisión"/>
    <w:p>
      <w:pPr>
        <w:pStyle w:val="Heading2"/>
      </w:pPr>
      <w:r>
        <w:t xml:space="preserve">5. DOCUMENTACIÓN DE LA REVISIÓN</w:t>
      </w:r>
    </w:p>
    <w:p>
      <w:pPr>
        <w:pStyle w:val="FirstParagraph"/>
      </w:pPr>
      <w:r>
        <w:t xml:space="preserve">Cada revisión manual genera un</w:t>
      </w:r>
      <w:r>
        <w:t xml:space="preserve"> </w:t>
      </w:r>
      <w:r>
        <w:rPr>
          <w:bCs/>
          <w:b/>
        </w:rPr>
        <w:t xml:space="preserve">registro de revisión</w:t>
      </w:r>
      <w:r>
        <w:t xml:space="preserve"> </w:t>
      </w:r>
      <w:r>
        <w:t xml:space="preserve">con: fecha, revisor, tipo de revisión, periodo cubierto, anomalías detectadas, acciones tomadas, referencia a incidentes abiertos si procede.</w:t>
      </w:r>
    </w:p>
    <w:bookmarkEnd w:id="24"/>
    <w:bookmarkStart w:id="25" w:name="protección-de-los-logs"/>
    <w:p>
      <w:pPr>
        <w:pStyle w:val="Heading2"/>
      </w:pPr>
      <w:r>
        <w:t xml:space="preserve">6. PROTECCIÓN DE LOS LOGS</w:t>
      </w:r>
    </w:p>
    <w:p>
      <w:pPr>
        <w:numPr>
          <w:ilvl w:val="0"/>
          <w:numId w:val="1002"/>
        </w:numPr>
      </w:pPr>
      <w:r>
        <w:t xml:space="preserve">Los logs se almacenarán en sistema centralizado (SIEM) con acceso restringido.</w:t>
      </w:r>
    </w:p>
    <w:p>
      <w:pPr>
        <w:numPr>
          <w:ilvl w:val="0"/>
          <w:numId w:val="1002"/>
        </w:numPr>
      </w:pPr>
      <w:r>
        <w:t xml:space="preserve">Los logs de seguridad serán</w:t>
      </w:r>
      <w:r>
        <w:t xml:space="preserve"> </w:t>
      </w:r>
      <w:r>
        <w:rPr>
          <w:bCs/>
          <w:b/>
        </w:rPr>
        <w:t xml:space="preserve">append-only</w:t>
      </w:r>
      <w:r>
        <w:t xml:space="preserve">: ningún usuario, incluidos los administradores del sistema auditado, podrá modificar o eliminar logs ya escritos.</w:t>
      </w:r>
    </w:p>
    <w:p>
      <w:pPr>
        <w:numPr>
          <w:ilvl w:val="0"/>
          <w:numId w:val="1002"/>
        </w:numPr>
      </w:pPr>
      <w:r>
        <w:t xml:space="preserve">La integridad de los logs se verificará trimestralmente mediante hashes o firmas.</w:t>
      </w:r>
    </w:p>
    <w:bookmarkEnd w:id="25"/>
    <w:bookmarkStart w:id="26" w:name="indicadores"/>
    <w:p>
      <w:pPr>
        <w:pStyle w:val="Heading2"/>
      </w:pPr>
      <w:r>
        <w:t xml:space="preserve">7. INDICADORES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Revisiones de logs ejecutadas conforme al calendario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Anomalías detectadas y gestionadas (vinculadas a E-204)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Intentos de manipulación de logs detectados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Registrados como incidente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E-223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E-223 · PROCEDIMIENTO DE REVISIÓN DE LOGS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}}-223</vt:lpwstr>
  </property>
  <property fmtid="{D5CDD505-2E9C-101B-9397-08002B2CF9AE}" pid="4" name="politica_madre">
    <vt:lpwstr>{{ proyecto.codigo_documento_base }}-100</vt:lpwstr>
  </property>
  <property fmtid="{D5CDD505-2E9C-101B-9397-08002B2CF9AE}" pid="5" name="titulo">
    <vt:lpwstr>Procedimiento de Revisión de Logs</vt:lpwstr>
  </property>
  <property fmtid="{D5CDD505-2E9C-101B-9397-08002B2CF9AE}" pid="6" name="version">
    <vt:lpwstr>{{ proyecto.version_actual }}</vt:lpwstr>
  </property>
</Properties>
</file>