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092f92d1249d503e067229368bfd00086ac561"/>
    <w:p>
      <w:pPr>
        <w:pStyle w:val="Heading1"/>
      </w:pPr>
      <w:r>
        <w:t xml:space="preserve">PROCEDIMIENTO DE DESPLIEGUE DE SOFTWARE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}}-224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Garantizar que ningún software (propio o de terceros) pasa a producción sin haber completado las verificaciones de seguridad exigidas por la Política E-114.</w:t>
      </w:r>
    </w:p>
    <w:bookmarkEnd w:id="20"/>
    <w:bookmarkStart w:id="21" w:name="flujo-operativo"/>
    <w:p>
      <w:pPr>
        <w:pStyle w:val="Heading2"/>
      </w:pPr>
      <w:r>
        <w:t xml:space="preserve">2. FLUJO OPERATIVO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completado. Código en rama release.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SAST</w:t>
            </w:r>
            <w:r>
              <w:t xml:space="preserve"> </w:t>
            </w:r>
            <w:r>
              <w:t xml:space="preserve">ejecutado: análisis estático del código (Semgrep, SonarQube). Hallazgos CRÍTICOS y ALTOS = bloqueantes.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 / 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</w:t>
            </w:r>
            <w:r>
              <w:t xml:space="preserve"> </w:t>
            </w:r>
            <w:r>
              <w:t xml:space="preserve">ejecutado: dependencias verificadas contra CVEs (Trivy, Safety). Dependencias con CVE CRÍTICA = bloqueantes.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Pruebas funcionales</w:t>
            </w:r>
            <w:r>
              <w:t xml:space="preserve"> </w:t>
            </w:r>
            <w:r>
              <w:t xml:space="preserve">en entorno de preproducción (E-225) superadas.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DAST</w:t>
            </w:r>
            <w:r>
              <w:t xml:space="preserve"> </w:t>
            </w:r>
            <w:r>
              <w:t xml:space="preserve">ejecutado contra entorno de preproducción (ZAP, Nikto). Hallazgos CRÍTICOS = bloqueantes.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Revisión de configuración del entorno de despliegue</w:t>
            </w:r>
            <w:r>
              <w:t xml:space="preserve">: hardening conforme a E-IT-001, secretos en vault, TLS configurado.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Solicitud de cambio</w:t>
            </w:r>
            <w:r>
              <w:t xml:space="preserve"> </w:t>
            </w:r>
            <w:r>
              <w:t xml:space="preserve">conforme a {{ proyecto.codigo_documento_base }}-203 con evidencia de pasos 2-6.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Aprobación del Resp. Seguridad</w:t>
            </w:r>
            <w:r>
              <w:t xml:space="preserve"> </w:t>
            </w:r>
            <w:r>
              <w:t xml:space="preserve">para paso a producción.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Despliegue</w:t>
            </w:r>
            <w:r>
              <w:t xml:space="preserve"> </w:t>
            </w:r>
            <w:r>
              <w:t xml:space="preserve">en ventana de mantenimiento aprobada, con rollback preparado.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Verificación post-despliegue</w:t>
            </w:r>
            <w:r>
              <w:t xml:space="preserve">: servicio operativo, sin errores, sin regresión, monitorización activa 48h.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</w:tbl>
    <w:bookmarkEnd w:id="21"/>
    <w:bookmarkStart w:id="22" w:name="indicadores"/>
    <w:p>
      <w:pPr>
        <w:pStyle w:val="Heading2"/>
      </w:pPr>
      <w:r>
        <w:t xml:space="preserve">3.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Despliegues con SAST+SCA+DAST completados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Despliegues con hallazgos CRÍTICOS no resueltos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E-224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E-224 · PROCEDIMIENTO DE DESPLIEGUE DE SOFTWARE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}}-224</vt:lpwstr>
  </property>
  <property fmtid="{D5CDD505-2E9C-101B-9397-08002B2CF9AE}" pid="4" name="politica_madre">
    <vt:lpwstr>{{ proyecto.codigo_documento_base }}-114</vt:lpwstr>
  </property>
  <property fmtid="{D5CDD505-2E9C-101B-9397-08002B2CF9AE}" pid="5" name="titulo">
    <vt:lpwstr>Procedimiento de Despliegue de Software</vt:lpwstr>
  </property>
  <property fmtid="{D5CDD505-2E9C-101B-9397-08002B2CF9AE}" pid="6" name="version">
    <vt:lpwstr>{{ proyecto.version_actual }}</vt:lpwstr>
  </property>
</Properties>
</file>