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27c0e3c55f494a06d8e4ed24c6d1c9d9de7fedd"/>
    <w:p>
      <w:pPr>
        <w:pStyle w:val="Heading1"/>
      </w:pPr>
      <w:r>
        <w:t xml:space="preserve">PROCEDIMIENTO DE CONTROL DE VISITAS EXTERNAS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}}-229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objeto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Regular el acceso de personas externas (visitantes, proveedores puntuales, candidatos, auditores) a las instalaciones de {{ cliente.razon_social }}.</w:t>
      </w:r>
    </w:p>
    <w:bookmarkEnd w:id="20"/>
    <w:bookmarkStart w:id="21" w:name="flujo-operativo"/>
    <w:p>
      <w:pPr>
        <w:pStyle w:val="Heading2"/>
      </w:pPr>
      <w:r>
        <w:t xml:space="preserve">2. FLUJO OPERATIVO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anfitrión notifica la visita con antelación mínima de 24h: nombre visitante, empresa, motivo, fecha/hora, zonas a visitar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Anfitrión (personal interno)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Recepción verifica la identidad del visitante (DNI/pasaporte) y registra: nombre, empresa, DNI, anfitrión, hora 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entrega tarjeta de visitante visible. En zonas restringidas: acompañamiento obligatorio durante toda la visita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Recepción + anfitrión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visitante firma el compromiso de confidencialidad si va a acceder a información CONFIDENCIAL+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Visitante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finalizar: devolución de tarjeta, registro de hora de salida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el visitante requiere acceso a sistemas (auditor externo, técnico de proveedor): alta temporal conforme a E-200 con vigencia limitada al día/semana de la visita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</w:t>
            </w:r>
          </w:p>
        </w:tc>
      </w:tr>
    </w:tbl>
    <w:bookmarkEnd w:id="21"/>
    <w:bookmarkStart w:id="22" w:name="restricciones"/>
    <w:p>
      <w:pPr>
        <w:pStyle w:val="Heading2"/>
      </w:pPr>
      <w:r>
        <w:t xml:space="preserve">3. RESTRICCIONES</w:t>
      </w:r>
    </w:p>
    <w:p>
      <w:pPr>
        <w:numPr>
          <w:ilvl w:val="0"/>
          <w:numId w:val="1001"/>
        </w:numPr>
      </w:pPr>
      <w:r>
        <w:t xml:space="preserve">Los visitantes no accederán a zonas restringidas o críticas sin acompañamiento.</w:t>
      </w:r>
    </w:p>
    <w:p>
      <w:pPr>
        <w:numPr>
          <w:ilvl w:val="0"/>
          <w:numId w:val="1001"/>
        </w:numPr>
      </w:pPr>
      <w:r>
        <w:t xml:space="preserve">Queda prohibido que los visitantes conecten dispositivos propios a la red corporativa salvo autorización del Resp. Seguridad.</w:t>
      </w:r>
    </w:p>
    <w:p>
      <w:pPr>
        <w:numPr>
          <w:ilvl w:val="0"/>
          <w:numId w:val="1001"/>
        </w:numPr>
      </w:pPr>
      <w:r>
        <w:t xml:space="preserve">Los visitantes no fotografiarán ni grabarán en zonas restringidas salvo autorización expresa.</w:t>
      </w:r>
    </w:p>
    <w:bookmarkEnd w:id="22"/>
    <w:bookmarkStart w:id="23" w:name="indicadores"/>
    <w:p>
      <w:pPr>
        <w:pStyle w:val="Heading2"/>
      </w:pPr>
      <w:r>
        <w:t xml:space="preserve">4. INDICADORES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Visitas registradas en el libro de visitas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Visitas a zonas restringidas con acompañamiento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p/>
    <w:p>
      <w:r>
        <w:rPr>
          <w:b/>
          <w:color w:val="0B1F3A"/>
          <w:sz w:val="24"/>
        </w:rPr>
        <w:t>APROBACIONES Y FIRMAS</w:t>
      </w:r>
    </w:p>
    <w:p>
      <w:r>
        <w:rPr>
          <w:b w:val="0"/>
          <w:color w:val="0B1F3A"/>
          <w:sz w:val="20"/>
        </w:rPr>
        <w:t>El presente documento se aprueba mediante las firmas de los intervinientes que se relacionan a continuación. Cuando la firma se realiza digitalmente a través del portal del proyecto, el hash SHA-256 y el código QR de verificación se consignan bajo el nombre del firmante.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ELABORADO POR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APROBADO POR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firmas.elaborado.nombre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firmas.revisado.nombre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firmas.elaborado.cargo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firmas.revisado.cargo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firmas.elaborado.fecha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firmas.revisado.fecha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firmas.elaborado.firma_marca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firmas.revisado.firma_marca }}</w:t>
            </w:r>
          </w:p>
        </w:tc>
      </w:tr>
    </w:tbl>
    <w:p>
      <w:r>
        <w:rPr>
          <w:sz w:val="2"/>
        </w:rPr>
        <w:t>&lt;!--FX_SIG_V2--&gt;</w:t>
      </w:r>
    </w:p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E-229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E-229 · PROCEDIMIENTO DE MONITORIZACIÓN DE SEGURIDAD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2026-04-14T18:00:40Z</dcterms:created>
  <dcterms:modified xsi:type="dcterms:W3CDTF">2026-04-14T18:00:40Z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{{ proyecto.codigo_documento_base }}-229</vt:lpwstr>
  </property>
  <property fmtid="{D5CDD505-2E9C-101B-9397-08002B2CF9AE}" pid="4" name="politica_madre">
    <vt:lpwstr>{{ proyecto.codigo_documento_base }}-123</vt:lpwstr>
  </property>
  <property fmtid="{D5CDD505-2E9C-101B-9397-08002B2CF9AE}" pid="5" name="titulo">
    <vt:lpwstr>Procedimiento de Control de Visitas Externas</vt:lpwstr>
  </property>
  <property fmtid="{D5CDD505-2E9C-101B-9397-08002B2CF9AE}" pid="6" name="version">
    <vt:lpwstr>{{ proyecto.version_actual }}</vt:lpwstr>
  </property>
</Properties>
</file>