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b8ab796ef2ead4173ddfbd89e25a86af3ea9b7c"/>
    <w:p>
      <w:pPr>
        <w:pStyle w:val="Heading1"/>
      </w:pPr>
      <w:r>
        <w:t xml:space="preserve">PROCEDIMIENTO DE GESTIÓN DE CUENTAS Y ACCESOS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}}-205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el flujo operativo para la solicitud, autorización, provisión, modificación, revisión periódica y revocación de cuentas de usuario y derechos de acceso a los sistemas de información de {{ cliente.razon_social }}, en desarrollo de la Política de Control de Acceso ({{ proyecto.codigo_documento_base }}-102).</w:t>
      </w:r>
    </w:p>
    <w:bookmarkEnd w:id="20"/>
    <w:bookmarkStart w:id="21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 toda cuenta de usuario, sea de personal interno, externo o de servicio, que permita el acceso a sistemas, redes, aplicaciones o información comprendidos en el alcance del SGSI.</w:t>
      </w:r>
    </w:p>
    <w:bookmarkEnd w:id="21"/>
    <w:bookmarkStart w:id="22" w:name="tipos-de-cuenta"/>
    <w:p>
      <w:pPr>
        <w:pStyle w:val="Heading2"/>
      </w:pPr>
      <w:r>
        <w:t xml:space="preserve">3. TIPOS DE CUENTA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especiales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Empleado o personal estatutario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Vinculada a contrato laboral o de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 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Contratista, consultor, becario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Vigencia limitada al periodo del contrato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Privilegiada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Administrador, root, sa, 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 obligatorio. Revisión trimestral.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automático, sistema-a-sistema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acceso interactivo. Credenciales rotadas semestralmente.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 emergencia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break-glass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 de credenciales en sobre sellado. Uso registrado y auditado.</w:t>
            </w:r>
          </w:p>
        </w:tc>
      </w:tr>
    </w:tbl>
    <w:bookmarkEnd w:id="22"/>
    <w:bookmarkStart w:id="27" w:name="flujo-de-gestión-alta"/>
    <w:p>
      <w:pPr>
        <w:pStyle w:val="Heading2"/>
      </w:pPr>
      <w:r>
        <w:t xml:space="preserve">4. FLUJO DE GESTIÓN — ALTA</w:t>
      </w:r>
    </w:p>
    <w:bookmarkStart w:id="23" w:name="solicitud"/>
    <w:p>
      <w:pPr>
        <w:pStyle w:val="Heading3"/>
      </w:pPr>
      <w:r>
        <w:t xml:space="preserve">4.1 Solicitud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Responsable jerárquico del solicitante (en personal externo, persona de contacto designada en el contrato).</w:t>
      </w:r>
    </w:p>
    <w:p>
      <w:pPr>
        <w:pStyle w:val="BodyText"/>
      </w:pPr>
      <w:r>
        <w:rPr>
          <w:bCs/>
          <w:b/>
        </w:rPr>
        <w:t xml:space="preserve">Acciones:</w:t>
      </w:r>
    </w:p>
    <w:p>
      <w:pPr>
        <w:numPr>
          <w:ilvl w:val="0"/>
          <w:numId w:val="1001"/>
        </w:numPr>
        <w:pStyle w:val="Compact"/>
      </w:pPr>
      <w:r>
        <w:t xml:space="preserve">Cumplimentar el</w:t>
      </w:r>
      <w:r>
        <w:t xml:space="preserve"> </w:t>
      </w:r>
      <w:r>
        <w:rPr>
          <w:bCs/>
          <w:b/>
        </w:rPr>
        <w:t xml:space="preserve">formulario de solicitud de acceso</w:t>
      </w:r>
      <w:r>
        <w:t xml:space="preserve"> </w:t>
      </w:r>
      <w:r>
        <w:t xml:space="preserve">(Anexo I), indicando:</w:t>
      </w:r>
    </w:p>
    <w:p>
      <w:pPr>
        <w:numPr>
          <w:ilvl w:val="0"/>
          <w:numId w:val="1002"/>
        </w:numPr>
        <w:pStyle w:val="Compact"/>
      </w:pPr>
      <w:r>
        <w:t xml:space="preserve">Datos de la persona solicitante.</w:t>
      </w:r>
    </w:p>
    <w:p>
      <w:pPr>
        <w:numPr>
          <w:ilvl w:val="0"/>
          <w:numId w:val="1002"/>
        </w:numPr>
        <w:pStyle w:val="Compact"/>
      </w:pPr>
      <w:r>
        <w:t xml:space="preserve">Fecha de incorporación o inicio de la prestación.</w:t>
      </w:r>
    </w:p>
    <w:p>
      <w:pPr>
        <w:numPr>
          <w:ilvl w:val="0"/>
          <w:numId w:val="1002"/>
        </w:numPr>
        <w:pStyle w:val="Compact"/>
      </w:pPr>
      <w:r>
        <w:t xml:space="preserve">Puesto, rol y funciones a desempeñar.</w:t>
      </w:r>
    </w:p>
    <w:p>
      <w:pPr>
        <w:numPr>
          <w:ilvl w:val="0"/>
          <w:numId w:val="1002"/>
        </w:numPr>
        <w:pStyle w:val="Compact"/>
      </w:pPr>
      <w:r>
        <w:t xml:space="preserve">Recursos a los que se solicita acceso (sistemas, aplicaciones, carpetas, etc.).</w:t>
      </w:r>
    </w:p>
    <w:p>
      <w:pPr>
        <w:numPr>
          <w:ilvl w:val="0"/>
          <w:numId w:val="1002"/>
        </w:numPr>
        <w:pStyle w:val="Compact"/>
      </w:pPr>
      <w:r>
        <w:t xml:space="preserve">Nivel de privilegio requerido en cada uno.</w:t>
      </w:r>
    </w:p>
    <w:p>
      <w:pPr>
        <w:numPr>
          <w:ilvl w:val="0"/>
          <w:numId w:val="1002"/>
        </w:numPr>
        <w:pStyle w:val="Compact"/>
      </w:pPr>
      <w:r>
        <w:t xml:space="preserve">Periodo previsto de vigencia (especialmente relevante en personal externo).</w:t>
      </w:r>
    </w:p>
    <w:p>
      <w:pPr>
        <w:numPr>
          <w:ilvl w:val="0"/>
          <w:numId w:val="1002"/>
        </w:numPr>
        <w:pStyle w:val="Compact"/>
      </w:pPr>
      <w:r>
        <w:t xml:space="preserve">Justificación del acceso.</w:t>
      </w:r>
    </w:p>
    <w:p>
      <w:pPr>
        <w:numPr>
          <w:ilvl w:val="0"/>
          <w:numId w:val="1003"/>
        </w:numPr>
        <w:pStyle w:val="Compact"/>
      </w:pPr>
      <w:r>
        <w:t xml:space="preserve">Firmar electrónicamente la solicitud y remitirla al propietario de cada recurso solicitado.</w:t>
      </w:r>
    </w:p>
    <w:bookmarkEnd w:id="23"/>
    <w:bookmarkStart w:id="24" w:name="autorización"/>
    <w:p>
      <w:pPr>
        <w:pStyle w:val="Heading3"/>
      </w:pPr>
      <w:r>
        <w:t xml:space="preserve">4.2 Autorización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Propietario del recurso (Responsable de la Información o Responsable del Servicio según el activo).</w:t>
      </w:r>
    </w:p>
    <w:p>
      <w:pPr>
        <w:pStyle w:val="BodyText"/>
      </w:pPr>
      <w:r>
        <w:rPr>
          <w:bCs/>
          <w:b/>
        </w:rPr>
        <w:t xml:space="preserve">Acciones:</w:t>
      </w:r>
    </w:p>
    <w:p>
      <w:pPr>
        <w:numPr>
          <w:ilvl w:val="0"/>
          <w:numId w:val="1004"/>
        </w:numPr>
        <w:pStyle w:val="Compact"/>
      </w:pPr>
      <w:r>
        <w:t xml:space="preserve">Verificar que la solicitud:</w:t>
      </w:r>
    </w:p>
    <w:p>
      <w:pPr>
        <w:numPr>
          <w:ilvl w:val="0"/>
          <w:numId w:val="1005"/>
        </w:numPr>
        <w:pStyle w:val="Compact"/>
      </w:pPr>
      <w:r>
        <w:t xml:space="preserve">Está firmada por el responsable jerárquico legitimado.</w:t>
      </w:r>
    </w:p>
    <w:p>
      <w:pPr>
        <w:numPr>
          <w:ilvl w:val="0"/>
          <w:numId w:val="1005"/>
        </w:numPr>
        <w:pStyle w:val="Compact"/>
      </w:pPr>
      <w:r>
        <w:t xml:space="preserve">Identifica claramente el rol y las funciones.</w:t>
      </w:r>
    </w:p>
    <w:p>
      <w:pPr>
        <w:numPr>
          <w:ilvl w:val="0"/>
          <w:numId w:val="1005"/>
        </w:numPr>
        <w:pStyle w:val="Compact"/>
      </w:pPr>
      <w:r>
        <w:t xml:space="preserve">Solicita un nivel de acceso proporcional a las funciones declaradas.</w:t>
      </w:r>
    </w:p>
    <w:p>
      <w:pPr>
        <w:numPr>
          <w:ilvl w:val="0"/>
          <w:numId w:val="1005"/>
        </w:numPr>
        <w:pStyle w:val="Compact"/>
      </w:pPr>
      <w:r>
        <w:t xml:space="preserve">Respeta el principio de necesidad de saber.</w:t>
      </w:r>
    </w:p>
    <w:p>
      <w:pPr>
        <w:numPr>
          <w:ilvl w:val="0"/>
          <w:numId w:val="1005"/>
        </w:numPr>
        <w:pStyle w:val="Compact"/>
      </w:pPr>
      <w:r>
        <w:t xml:space="preserve">Respeta las reglas de segregación de funciones del apartado 7 de la Política {{ proyecto.codigo_documento_base }}-102.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Aprobar, denegar o modificar</w:t>
      </w:r>
      <w:r>
        <w:t xml:space="preserve"> </w:t>
      </w:r>
      <w:r>
        <w:t xml:space="preserve">la solicitud dentro de los siguientes plazos máximos desde la recepción: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 máximo de decisión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interno, acceso estándar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días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interno, acceso privilegiado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días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días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 de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días hábiles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Documentar la decisión en el sistema de gestión de identidades, dejando trazabilidad del responsable y fecha.</w:t>
      </w:r>
    </w:p>
    <w:bookmarkEnd w:id="24"/>
    <w:bookmarkStart w:id="25" w:name="provisión-técnica"/>
    <w:p>
      <w:pPr>
        <w:pStyle w:val="Heading3"/>
      </w:pPr>
      <w:r>
        <w:t xml:space="preserve">4.3 Provisión técnica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Responsable del Sistema o personal técnico bajo su supervisión.</w:t>
      </w:r>
    </w:p>
    <w:p>
      <w:pPr>
        <w:pStyle w:val="BodyText"/>
      </w:pPr>
      <w:r>
        <w:rPr>
          <w:bCs/>
          <w:b/>
        </w:rPr>
        <w:t xml:space="preserve">Acciones:</w:t>
      </w:r>
    </w:p>
    <w:p>
      <w:pPr>
        <w:numPr>
          <w:ilvl w:val="0"/>
          <w:numId w:val="1008"/>
        </w:numPr>
      </w:pPr>
      <w:r>
        <w:t xml:space="preserve">Una vez autorizada la solicitud, provisionar técnicamente la cuenta y los accesos en un plazo máximo de</w:t>
      </w:r>
      <w:r>
        <w:t xml:space="preserve"> </w:t>
      </w:r>
      <w:r>
        <w:rPr>
          <w:bCs/>
          <w:b/>
        </w:rPr>
        <w:t xml:space="preserve">2 días hábiles</w:t>
      </w:r>
      <w:r>
        <w:t xml:space="preserve"> </w:t>
      </w:r>
      <w:r>
        <w:t xml:space="preserve">desde la autorización.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Generar la credencial inicial</w:t>
      </w:r>
      <w:r>
        <w:t xml:space="preserve"> </w:t>
      </w:r>
      <w:r>
        <w:t xml:space="preserve">mediante un procedimiento que garantice:</w:t>
      </w:r>
    </w:p>
    <w:p>
      <w:pPr>
        <w:numPr>
          <w:ilvl w:val="0"/>
          <w:numId w:val="1009"/>
        </w:numPr>
        <w:pStyle w:val="Compact"/>
      </w:pPr>
      <w:r>
        <w:t xml:space="preserve">Aleatoriedad criptográfica.</w:t>
      </w:r>
    </w:p>
    <w:p>
      <w:pPr>
        <w:numPr>
          <w:ilvl w:val="0"/>
          <w:numId w:val="1009"/>
        </w:numPr>
        <w:pStyle w:val="Compact"/>
      </w:pPr>
      <w:r>
        <w:t xml:space="preserve">Cumplimiento de la política de contraseñas del apartado 5.3 de {{ proyecto.codigo_documento_base }}-102.</w:t>
      </w:r>
    </w:p>
    <w:p>
      <w:pPr>
        <w:numPr>
          <w:ilvl w:val="0"/>
          <w:numId w:val="1009"/>
        </w:numPr>
        <w:pStyle w:val="Compact"/>
      </w:pPr>
      <w:r>
        <w:t xml:space="preserve">Entrega segura al usuario por canal cifrado o con cambio obligatorio en el primer inicio de sesión.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Configurar la autenticación multifactor</w:t>
      </w:r>
      <w:r>
        <w:t xml:space="preserve"> </w:t>
      </w:r>
      <w:r>
        <w:t xml:space="preserve">(MFA) cuando proceda según la política.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Registrar la provisión</w:t>
      </w:r>
      <w:r>
        <w:t xml:space="preserve"> </w:t>
      </w:r>
      <w:r>
        <w:t xml:space="preserve">en el Inventario de Cuentas y Accesos del SGSI.</w:t>
      </w:r>
    </w:p>
    <w:bookmarkEnd w:id="25"/>
    <w:bookmarkStart w:id="26" w:name="notificación-y-aceptación"/>
    <w:p>
      <w:pPr>
        <w:pStyle w:val="Heading3"/>
      </w:pPr>
      <w:r>
        <w:t xml:space="preserve">4.4 Notificación y aceptación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Responsable del Sistema.</w:t>
      </w:r>
    </w:p>
    <w:p>
      <w:pPr>
        <w:pStyle w:val="BodyText"/>
      </w:pPr>
      <w:r>
        <w:rPr>
          <w:bCs/>
          <w:b/>
        </w:rPr>
        <w:t xml:space="preserve">Acciones:</w:t>
      </w:r>
    </w:p>
    <w:p>
      <w:pPr>
        <w:numPr>
          <w:ilvl w:val="0"/>
          <w:numId w:val="1011"/>
        </w:numPr>
      </w:pPr>
      <w:r>
        <w:t xml:space="preserve">Notificar al usuario la disponibilidad de su cuenta, sus credenciales iniciales y las normas de uso aceptable ({{ proyecto.codigo_documento_base }}-106).</w:t>
      </w:r>
    </w:p>
    <w:p>
      <w:pPr>
        <w:numPr>
          <w:ilvl w:val="0"/>
          <w:numId w:val="1011"/>
        </w:numPr>
      </w:pPr>
      <w:r>
        <w:t xml:space="preserve">Requerir del usuario el</w:t>
      </w:r>
      <w:r>
        <w:t xml:space="preserve"> </w:t>
      </w:r>
      <w:r>
        <w:rPr>
          <w:bCs/>
          <w:b/>
        </w:rPr>
        <w:t xml:space="preserve">acuse de recibo</w:t>
      </w:r>
      <w:r>
        <w:t xml:space="preserve"> </w:t>
      </w:r>
      <w:r>
        <w:t xml:space="preserve">de las normas y, en su caso, la firma de los compromisos de confidencialidad correspondientes.</w:t>
      </w:r>
    </w:p>
    <w:bookmarkEnd w:id="26"/>
    <w:bookmarkEnd w:id="27"/>
    <w:bookmarkStart w:id="28" w:name="flujo-de-gestión-modificación"/>
    <w:p>
      <w:pPr>
        <w:pStyle w:val="Heading2"/>
      </w:pPr>
      <w:r>
        <w:t xml:space="preserve">5. FLUJO DE GESTIÓN — MODIFICACIÓN</w:t>
      </w:r>
    </w:p>
    <w:p>
      <w:pPr>
        <w:pStyle w:val="FirstParagraph"/>
      </w:pPr>
      <w:r>
        <w:rPr>
          <w:bCs/>
          <w:b/>
        </w:rPr>
        <w:t xml:space="preserve">Disparadores:</w:t>
      </w:r>
      <w:r>
        <w:t xml:space="preserve"> </w:t>
      </w:r>
      <w:r>
        <w:t xml:space="preserve">cambio de puesto, cambio de proyecto, asunción de nuevas funciones, finalización de un proyecto temporal.</w:t>
      </w:r>
    </w:p>
    <w:p>
      <w:pPr>
        <w:pStyle w:val="BodyText"/>
      </w:pPr>
      <w:r>
        <w:rPr>
          <w:bCs/>
          <w:b/>
        </w:rPr>
        <w:t xml:space="preserve">Responsable de iniciar:</w:t>
      </w:r>
      <w:r>
        <w:t xml:space="preserve"> </w:t>
      </w:r>
      <w:r>
        <w:t xml:space="preserve">Responsable jerárquico del usuario afectado.</w:t>
      </w:r>
    </w:p>
    <w:p>
      <w:pPr>
        <w:pStyle w:val="BodyText"/>
      </w:pPr>
      <w:r>
        <w:rPr>
          <w:bCs/>
          <w:b/>
        </w:rPr>
        <w:t xml:space="preserve">Acciones:</w:t>
      </w:r>
    </w:p>
    <w:p>
      <w:pPr>
        <w:numPr>
          <w:ilvl w:val="0"/>
          <w:numId w:val="1012"/>
        </w:numPr>
      </w:pPr>
      <w:r>
        <w:t xml:space="preserve">Comunicar formalmente el cambio mediante el formulario del Anexo II.</w:t>
      </w:r>
    </w:p>
    <w:p>
      <w:pPr>
        <w:numPr>
          <w:ilvl w:val="0"/>
          <w:numId w:val="1012"/>
        </w:numPr>
      </w:pPr>
      <w:r>
        <w:t xml:space="preserve">El propietario del recurso evalúa los nuevos accesos necesarios y los privilegios que dejan de ser necesarios, autorizando la</w:t>
      </w:r>
      <w:r>
        <w:t xml:space="preserve"> </w:t>
      </w:r>
      <w:r>
        <w:rPr>
          <w:bCs/>
          <w:b/>
        </w:rPr>
        <w:t xml:space="preserve">modificación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El Responsable del Sistema ejecuta los cambios en el plazo de</w:t>
      </w:r>
      <w:r>
        <w:t xml:space="preserve"> </w:t>
      </w:r>
      <w:r>
        <w:rPr>
          <w:bCs/>
          <w:b/>
        </w:rPr>
        <w:t xml:space="preserve">3 días hábiles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Se aplican los principios de</w:t>
      </w:r>
      <w:r>
        <w:t xml:space="preserve"> </w:t>
      </w:r>
      <w:r>
        <w:rPr>
          <w:bCs/>
          <w:b/>
        </w:rPr>
        <w:t xml:space="preserve">mínimo privilegio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necesidad de saber</w:t>
      </w:r>
      <w:r>
        <w:t xml:space="preserve"> </w:t>
      </w:r>
      <w:r>
        <w:t xml:space="preserve">en la nueva configuración, eliminando privilegios residuales del puesto anterior.</w:t>
      </w:r>
    </w:p>
    <w:bookmarkEnd w:id="28"/>
    <w:bookmarkStart w:id="29" w:name="flujo-de-gestión-revisión-periódica"/>
    <w:p>
      <w:pPr>
        <w:pStyle w:val="Heading2"/>
      </w:pPr>
      <w:r>
        <w:t xml:space="preserve">6. FLUJO DE GESTIÓN — REVISIÓN PERIÓDICA</w:t>
      </w:r>
    </w:p>
    <w:p>
      <w:pPr>
        <w:pStyle w:val="FirstParagraph"/>
      </w:pPr>
      <w:r>
        <w:rPr>
          <w:bCs/>
          <w:b/>
        </w:rPr>
        <w:t xml:space="preserve">Responsable de la coordinación:</w:t>
      </w:r>
      <w:r>
        <w:t xml:space="preserve"> </w:t>
      </w:r>
      <w:r>
        <w:t xml:space="preserve">Responsable de la Seguridad.</w:t>
      </w:r>
    </w:p>
    <w:p>
      <w:pPr>
        <w:pStyle w:val="BodyText"/>
      </w:pPr>
      <w:r>
        <w:rPr>
          <w:bCs/>
          <w:b/>
        </w:rPr>
        <w:t xml:space="preserve">Periodicidad:</w:t>
      </w:r>
      <w:r>
        <w:t xml:space="preserve"> </w:t>
      </w:r>
      <w:r>
        <w:t xml:space="preserve">según el apartado 6.4 de la Política {{ proyecto.codigo_documento_base }}-102: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 mínima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Privilegiados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Información clasificada nivel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Información clasificada nivel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Acciones:</w:t>
      </w:r>
    </w:p>
    <w:p>
      <w:pPr>
        <w:numPr>
          <w:ilvl w:val="0"/>
          <w:numId w:val="1013"/>
        </w:numPr>
      </w:pPr>
      <w:r>
        <w:t xml:space="preserve">El Responsable de la Seguridad genera el</w:t>
      </w:r>
      <w:r>
        <w:t xml:space="preserve"> </w:t>
      </w:r>
      <w:r>
        <w:rPr>
          <w:bCs/>
          <w:b/>
        </w:rPr>
        <w:t xml:space="preserve">listado de accesos vigentes</w:t>
      </w:r>
      <w:r>
        <w:t xml:space="preserve"> </w:t>
      </w:r>
      <w:r>
        <w:t xml:space="preserve">desde el sistema de gestión de identidades.</w:t>
      </w:r>
    </w:p>
    <w:p>
      <w:pPr>
        <w:numPr>
          <w:ilvl w:val="0"/>
          <w:numId w:val="1013"/>
        </w:numPr>
      </w:pPr>
      <w:r>
        <w:t xml:space="preserve">Se distribuye a los propietarios de los recursos para</w:t>
      </w:r>
      <w:r>
        <w:t xml:space="preserve"> </w:t>
      </w:r>
      <w:r>
        <w:rPr>
          <w:bCs/>
          <w:b/>
        </w:rPr>
        <w:t xml:space="preserve">validación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Cada propietario revisa,</w:t>
      </w:r>
      <w:r>
        <w:t xml:space="preserve"> </w:t>
      </w:r>
      <w:r>
        <w:rPr>
          <w:bCs/>
          <w:b/>
        </w:rPr>
        <w:t xml:space="preserve">dispone de 15 días hábiles</w:t>
      </w:r>
      <w:r>
        <w:t xml:space="preserve"> </w:t>
      </w:r>
      <w:r>
        <w:t xml:space="preserve">para confirmar la vigencia de cada acceso y, en su caso, solicitar la revocación o modificación de los que ya no sean necesarios.</w:t>
      </w:r>
    </w:p>
    <w:p>
      <w:pPr>
        <w:numPr>
          <w:ilvl w:val="0"/>
          <w:numId w:val="1013"/>
        </w:numPr>
      </w:pPr>
      <w:r>
        <w:t xml:space="preserve">Las modificaciones se ejecutan según el flujo del apartado 5.</w:t>
      </w:r>
    </w:p>
    <w:p>
      <w:pPr>
        <w:numPr>
          <w:ilvl w:val="0"/>
          <w:numId w:val="1013"/>
        </w:numPr>
      </w:pPr>
      <w:r>
        <w:t xml:space="preserve">Se elabora un</w:t>
      </w:r>
      <w:r>
        <w:t xml:space="preserve"> </w:t>
      </w:r>
      <w:r>
        <w:rPr>
          <w:bCs/>
          <w:b/>
        </w:rPr>
        <w:t xml:space="preserve">acta de revisión</w:t>
      </w:r>
      <w:r>
        <w:t xml:space="preserve"> </w:t>
      </w:r>
      <w:r>
        <w:t xml:space="preserve">que se eleva al Comité de Seguridad.</w:t>
      </w:r>
    </w:p>
    <w:bookmarkEnd w:id="29"/>
    <w:bookmarkStart w:id="32" w:name="flujo-de-gestión-revocación"/>
    <w:p>
      <w:pPr>
        <w:pStyle w:val="Heading2"/>
      </w:pPr>
      <w:r>
        <w:t xml:space="preserve">7. FLUJO DE GESTIÓN — REVOCACIÓN</w:t>
      </w:r>
    </w:p>
    <w:bookmarkStart w:id="30" w:name="por-cese-ordinario"/>
    <w:p>
      <w:pPr>
        <w:pStyle w:val="Heading3"/>
      </w:pPr>
      <w:r>
        <w:t xml:space="preserve">7.1 Por cese ordinario</w:t>
      </w:r>
    </w:p>
    <w:p>
      <w:pPr>
        <w:pStyle w:val="FirstParagraph"/>
      </w:pPr>
      <w:r>
        <w:rPr>
          <w:bCs/>
          <w:b/>
        </w:rPr>
        <w:t xml:space="preserve">Disparador:</w:t>
      </w:r>
      <w:r>
        <w:t xml:space="preserve"> </w:t>
      </w:r>
      <w:r>
        <w:t xml:space="preserve">baja del personal o finalización del contrato.</w:t>
      </w:r>
    </w:p>
    <w:p>
      <w:pPr>
        <w:pStyle w:val="BodyText"/>
      </w:pPr>
      <w:r>
        <w:rPr>
          <w:bCs/>
          <w:b/>
        </w:rPr>
        <w:t xml:space="preserve">Responsable de notificar:</w:t>
      </w:r>
      <w:r>
        <w:t xml:space="preserve"> </w:t>
      </w:r>
      <w:r>
        <w:t xml:space="preserve">Responsable jerárquico o departamento de Recursos Humanos.</w:t>
      </w:r>
    </w:p>
    <w:p>
      <w:pPr>
        <w:pStyle w:val="BodyText"/>
      </w:pPr>
      <w:r>
        <w:rPr>
          <w:bCs/>
          <w:b/>
        </w:rPr>
        <w:t xml:space="preserve">Acciones:</w:t>
      </w:r>
    </w:p>
    <w:p>
      <w:pPr>
        <w:numPr>
          <w:ilvl w:val="0"/>
          <w:numId w:val="1014"/>
        </w:numPr>
      </w:pPr>
      <w:r>
        <w:t xml:space="preserve">Notificar el cese al Responsable de la Seguridad con</w:t>
      </w:r>
      <w:r>
        <w:t xml:space="preserve"> </w:t>
      </w:r>
      <w:r>
        <w:rPr>
          <w:bCs/>
          <w:b/>
        </w:rPr>
        <w:t xml:space="preserve">al menos 5 días hábiles de antelación</w:t>
      </w:r>
      <w:r>
        <w:t xml:space="preserve"> </w:t>
      </w:r>
      <w:r>
        <w:t xml:space="preserve">cuando sea posible.</w:t>
      </w:r>
    </w:p>
    <w:p>
      <w:pPr>
        <w:numPr>
          <w:ilvl w:val="0"/>
          <w:numId w:val="1014"/>
        </w:numPr>
      </w:pPr>
      <w:r>
        <w:t xml:space="preserve">El Responsable del Sistema procede a la revocación en los plazos máximos del apartado 6.5 de la Política {{ proyecto.codigo_documento_base }}-102: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 máximo desde el cese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Información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Información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horas</w:t>
            </w:r>
          </w:p>
        </w:tc>
      </w:tr>
    </w:tbl>
    <w:p>
      <w:pPr>
        <w:numPr>
          <w:ilvl w:val="0"/>
          <w:numId w:val="1015"/>
        </w:numPr>
        <w:pStyle w:val="Compact"/>
      </w:pPr>
      <w:r>
        <w:t xml:space="preserve">Se ejecuta la</w:t>
      </w:r>
      <w:r>
        <w:t xml:space="preserve"> </w:t>
      </w:r>
      <w:r>
        <w:rPr>
          <w:bCs/>
          <w:b/>
        </w:rPr>
        <w:t xml:space="preserve">lista de comprobación de baja</w:t>
      </w:r>
      <w:r>
        <w:t xml:space="preserve"> </w:t>
      </w:r>
      <w:r>
        <w:t xml:space="preserve">del Anexo III, que incluye:</w:t>
      </w:r>
    </w:p>
    <w:p>
      <w:pPr>
        <w:numPr>
          <w:ilvl w:val="0"/>
          <w:numId w:val="1016"/>
        </w:numPr>
        <w:pStyle w:val="Compact"/>
      </w:pPr>
      <w:r>
        <w:t xml:space="preserve">Deshabilitación de la cuenta principal.</w:t>
      </w:r>
    </w:p>
    <w:p>
      <w:pPr>
        <w:numPr>
          <w:ilvl w:val="0"/>
          <w:numId w:val="1016"/>
        </w:numPr>
        <w:pStyle w:val="Compact"/>
      </w:pPr>
      <w:r>
        <w:t xml:space="preserve">Revocación de accesos a aplicaciones específicas.</w:t>
      </w:r>
    </w:p>
    <w:p>
      <w:pPr>
        <w:numPr>
          <w:ilvl w:val="0"/>
          <w:numId w:val="1016"/>
        </w:numPr>
        <w:pStyle w:val="Compact"/>
      </w:pPr>
      <w:r>
        <w:t xml:space="preserve">Cierre de sesiones activas.</w:t>
      </w:r>
    </w:p>
    <w:p>
      <w:pPr>
        <w:numPr>
          <w:ilvl w:val="0"/>
          <w:numId w:val="1016"/>
        </w:numPr>
        <w:pStyle w:val="Compact"/>
      </w:pPr>
      <w:r>
        <w:t xml:space="preserve">Bloqueo del correo electrónico (con redirección durante el periodo establecido).</w:t>
      </w:r>
    </w:p>
    <w:p>
      <w:pPr>
        <w:numPr>
          <w:ilvl w:val="0"/>
          <w:numId w:val="1016"/>
        </w:numPr>
        <w:pStyle w:val="Compact"/>
      </w:pPr>
      <w:r>
        <w:t xml:space="preserve">Recuperación de equipos y soportes corporativos.</w:t>
      </w:r>
    </w:p>
    <w:p>
      <w:pPr>
        <w:numPr>
          <w:ilvl w:val="0"/>
          <w:numId w:val="1016"/>
        </w:numPr>
        <w:pStyle w:val="Compact"/>
      </w:pPr>
      <w:r>
        <w:t xml:space="preserve">Recuperación de credenciales físicas (tarjetas, llaves, tokens).</w:t>
      </w:r>
    </w:p>
    <w:p>
      <w:pPr>
        <w:numPr>
          <w:ilvl w:val="0"/>
          <w:numId w:val="1016"/>
        </w:numPr>
        <w:pStyle w:val="Compact"/>
      </w:pPr>
      <w:r>
        <w:t xml:space="preserve">Comunicación a interlocutores externos cuando proceda.</w:t>
      </w:r>
    </w:p>
    <w:p>
      <w:pPr>
        <w:numPr>
          <w:ilvl w:val="0"/>
          <w:numId w:val="1017"/>
        </w:numPr>
        <w:pStyle w:val="Compact"/>
      </w:pPr>
      <w:r>
        <w:t xml:space="preserve">La cuenta se mantiene</w:t>
      </w:r>
      <w:r>
        <w:t xml:space="preserve"> </w:t>
      </w:r>
      <w:r>
        <w:rPr>
          <w:bCs/>
          <w:b/>
        </w:rPr>
        <w:t xml:space="preserve">deshabilitada pero conservada</w:t>
      </w:r>
      <w:r>
        <w:t xml:space="preserve"> </w:t>
      </w:r>
      <w:r>
        <w:t xml:space="preserve">durante un periodo mínimo de 6 meses para preservar registros y evidencias, y posteriormente se elimina conforme al periodo de conservación establecido.</w:t>
      </w:r>
    </w:p>
    <w:bookmarkEnd w:id="30"/>
    <w:bookmarkStart w:id="31" w:name="X33f8b1e9b05ad128fdf582326574f905ec846f1"/>
    <w:p>
      <w:pPr>
        <w:pStyle w:val="Heading3"/>
      </w:pPr>
      <w:r>
        <w:t xml:space="preserve">7.2 Por cese conflictivo o despido disciplinario</w:t>
      </w:r>
    </w:p>
    <w:p>
      <w:pPr>
        <w:pStyle w:val="FirstParagraph"/>
      </w:pPr>
      <w:r>
        <w:rPr>
          <w:bCs/>
          <w:b/>
        </w:rPr>
        <w:t xml:space="preserve">Acciones especiales:</w:t>
      </w:r>
    </w:p>
    <w:p>
      <w:pPr>
        <w:numPr>
          <w:ilvl w:val="0"/>
          <w:numId w:val="1018"/>
        </w:numPr>
      </w:pPr>
      <w:r>
        <w:t xml:space="preserve">La revocación es</w:t>
      </w:r>
      <w:r>
        <w:t xml:space="preserve"> </w:t>
      </w:r>
      <w:r>
        <w:rPr>
          <w:bCs/>
          <w:b/>
        </w:rPr>
        <w:t xml:space="preserve">inmediata y previa o simultánea</w:t>
      </w:r>
      <w:r>
        <w:t xml:space="preserve"> </w:t>
      </w:r>
      <w:r>
        <w:t xml:space="preserve">a la comunicación formal del cese a la persona afectada.</w:t>
      </w:r>
    </w:p>
    <w:p>
      <w:pPr>
        <w:numPr>
          <w:ilvl w:val="0"/>
          <w:numId w:val="1018"/>
        </w:numPr>
      </w:pPr>
      <w:r>
        <w:t xml:space="preserve">Se aplican medidas adicionales de monitorización forense durante las 72 horas siguientes al cese.</w:t>
      </w:r>
    </w:p>
    <w:p>
      <w:pPr>
        <w:numPr>
          <w:ilvl w:val="0"/>
          <w:numId w:val="1018"/>
        </w:numPr>
      </w:pPr>
      <w:r>
        <w:t xml:space="preserve">Se realiza una</w:t>
      </w:r>
      <w:r>
        <w:t xml:space="preserve"> </w:t>
      </w:r>
      <w:r>
        <w:rPr>
          <w:bCs/>
          <w:b/>
        </w:rPr>
        <w:t xml:space="preserve">revisión específica</w:t>
      </w:r>
      <w:r>
        <w:t xml:space="preserve"> </w:t>
      </w:r>
      <w:r>
        <w:t xml:space="preserve">de las acciones realizadas por la cuenta en los 30 días previos al cese.</w:t>
      </w:r>
    </w:p>
    <w:bookmarkEnd w:id="31"/>
    <w:bookmarkEnd w:id="32"/>
    <w:bookmarkStart w:id="33" w:name="cuentas-de-servicio"/>
    <w:p>
      <w:pPr>
        <w:pStyle w:val="Heading2"/>
      </w:pPr>
      <w:r>
        <w:t xml:space="preserve">8. CUENTAS DE SERVICIO</w:t>
      </w:r>
    </w:p>
    <w:p>
      <w:pPr>
        <w:pStyle w:val="FirstParagraph"/>
      </w:pPr>
      <w:r>
        <w:rPr>
          <w:bCs/>
          <w:b/>
        </w:rPr>
        <w:t xml:space="preserve">Acciones específicas:</w:t>
      </w:r>
    </w:p>
    <w:p>
      <w:pPr>
        <w:numPr>
          <w:ilvl w:val="0"/>
          <w:numId w:val="1019"/>
        </w:numPr>
        <w:pStyle w:val="Compact"/>
      </w:pPr>
      <w:r>
        <w:t xml:space="preserve">Las cuentas de servicio se documentan en el</w:t>
      </w:r>
      <w:r>
        <w:t xml:space="preserve"> </w:t>
      </w:r>
      <w:r>
        <w:rPr>
          <w:bCs/>
          <w:b/>
        </w:rPr>
        <w:t xml:space="preserve">Inventario de Cuentas de Servicio</w:t>
      </w:r>
      <w:r>
        <w:t xml:space="preserve">, identificando:</w:t>
      </w:r>
    </w:p>
    <w:p>
      <w:pPr>
        <w:numPr>
          <w:ilvl w:val="0"/>
          <w:numId w:val="1020"/>
        </w:numPr>
        <w:pStyle w:val="Compact"/>
      </w:pPr>
      <w:r>
        <w:t xml:space="preserve">Sistema o aplicación que la utiliza.</w:t>
      </w:r>
    </w:p>
    <w:p>
      <w:pPr>
        <w:numPr>
          <w:ilvl w:val="0"/>
          <w:numId w:val="1020"/>
        </w:numPr>
        <w:pStyle w:val="Compact"/>
      </w:pPr>
      <w:r>
        <w:t xml:space="preserve">Función que desempeña.</w:t>
      </w:r>
    </w:p>
    <w:p>
      <w:pPr>
        <w:numPr>
          <w:ilvl w:val="0"/>
          <w:numId w:val="1020"/>
        </w:numPr>
        <w:pStyle w:val="Compact"/>
      </w:pPr>
      <w:r>
        <w:t xml:space="preserve">Privilegios asignados.</w:t>
      </w:r>
    </w:p>
    <w:p>
      <w:pPr>
        <w:numPr>
          <w:ilvl w:val="0"/>
          <w:numId w:val="1020"/>
        </w:numPr>
        <w:pStyle w:val="Compact"/>
      </w:pPr>
      <w:r>
        <w:t xml:space="preserve">Responsable funcional.</w:t>
      </w:r>
    </w:p>
    <w:p>
      <w:pPr>
        <w:numPr>
          <w:ilvl w:val="0"/>
          <w:numId w:val="1020"/>
        </w:numPr>
        <w:pStyle w:val="Compact"/>
      </w:pPr>
      <w:r>
        <w:t xml:space="preserve">Mecanismo de gestión de credenciales.</w:t>
      </w:r>
    </w:p>
    <w:p>
      <w:pPr>
        <w:numPr>
          <w:ilvl w:val="0"/>
          <w:numId w:val="1021"/>
        </w:numPr>
      </w:pPr>
      <w:r>
        <w:t xml:space="preserve">Las</w:t>
      </w:r>
      <w:r>
        <w:t xml:space="preserve"> </w:t>
      </w:r>
      <w:r>
        <w:rPr>
          <w:bCs/>
          <w:b/>
        </w:rPr>
        <w:t xml:space="preserve">credenciales de cuentas de servicio</w:t>
      </w:r>
      <w:r>
        <w:t xml:space="preserve"> </w:t>
      </w:r>
      <w:r>
        <w:t xml:space="preserve">se almacenan en una</w:t>
      </w:r>
      <w:r>
        <w:t xml:space="preserve"> </w:t>
      </w:r>
      <w:r>
        <w:rPr>
          <w:bCs/>
          <w:b/>
        </w:rPr>
        <w:t xml:space="preserve">solución de gestión de secretos</w:t>
      </w:r>
      <w:r>
        <w:t xml:space="preserve"> </w:t>
      </w:r>
      <w:r>
        <w:t xml:space="preserve">(vault) con acceso restringido y auditado.</w:t>
      </w:r>
    </w:p>
    <w:p>
      <w:pPr>
        <w:numPr>
          <w:ilvl w:val="0"/>
          <w:numId w:val="1021"/>
        </w:numPr>
      </w:pPr>
      <w:r>
        <w:t xml:space="preserve">Se rotan al menos</w:t>
      </w:r>
      <w:r>
        <w:t xml:space="preserve"> </w:t>
      </w:r>
      <w:r>
        <w:rPr>
          <w:bCs/>
          <w:b/>
        </w:rPr>
        <w:t xml:space="preserve">cada 6 meses</w:t>
      </w:r>
      <w:r>
        <w:t xml:space="preserve"> </w:t>
      </w:r>
      <w:r>
        <w:t xml:space="preserve">y siempre que cese el personal con conocimiento de las mismas.</w:t>
      </w:r>
    </w:p>
    <w:bookmarkEnd w:id="33"/>
    <w:bookmarkStart w:id="34" w:name="cuentas-de-emergencia-break-glass"/>
    <w:p>
      <w:pPr>
        <w:pStyle w:val="Heading2"/>
      </w:pPr>
      <w:r>
        <w:t xml:space="preserve">9. CUENTAS DE EMERGENCIA (BREAK-GLASS)</w:t>
      </w:r>
    </w:p>
    <w:p>
      <w:pPr>
        <w:pStyle w:val="FirstParagraph"/>
      </w:pPr>
      <w:r>
        <w:rPr>
          <w:bCs/>
          <w:b/>
        </w:rPr>
        <w:t xml:space="preserve">Características:</w:t>
      </w:r>
    </w:p>
    <w:p>
      <w:pPr>
        <w:numPr>
          <w:ilvl w:val="0"/>
          <w:numId w:val="1022"/>
        </w:numPr>
      </w:pPr>
      <w:r>
        <w:t xml:space="preserve">Existirán cuentas de emergencia para garantizar el acceso a sistemas críticos en situaciones excepcionales (fallo del sistema de identidades, indisponibilidad del personal habitual, etc.).</w:t>
      </w:r>
    </w:p>
    <w:p>
      <w:pPr>
        <w:numPr>
          <w:ilvl w:val="0"/>
          <w:numId w:val="1022"/>
        </w:numPr>
      </w:pPr>
      <w:r>
        <w:t xml:space="preserve">Las credenciales se custodiarán en</w:t>
      </w:r>
      <w:r>
        <w:t xml:space="preserve"> </w:t>
      </w:r>
      <w:r>
        <w:rPr>
          <w:bCs/>
          <w:b/>
        </w:rPr>
        <w:t xml:space="preserve">sobre sellado físico</w:t>
      </w:r>
      <w:r>
        <w:t xml:space="preserve"> </w:t>
      </w:r>
      <w:r>
        <w:t xml:space="preserve">o en bóveda con doble control, con acceso restringido a {{ responsables.responsable_seguridad.nombre }} y a su suplente designado.</w:t>
      </w:r>
    </w:p>
    <w:p>
      <w:pPr>
        <w:numPr>
          <w:ilvl w:val="0"/>
          <w:numId w:val="1022"/>
        </w:numPr>
      </w:pPr>
      <w:r>
        <w:t xml:space="preserve">Cualquier uso requerirá:</w:t>
      </w:r>
    </w:p>
    <w:p>
      <w:pPr>
        <w:numPr>
          <w:ilvl w:val="0"/>
          <w:numId w:val="1023"/>
        </w:numPr>
        <w:pStyle w:val="Compact"/>
      </w:pPr>
      <w:r>
        <w:t xml:space="preserve">Autorización previa del Responsable de la Seguridad o, en su defecto, del Comité de Crisis.</w:t>
      </w:r>
    </w:p>
    <w:p>
      <w:pPr>
        <w:numPr>
          <w:ilvl w:val="0"/>
          <w:numId w:val="1023"/>
        </w:numPr>
        <w:pStyle w:val="Compact"/>
      </w:pPr>
      <w:r>
        <w:t xml:space="preserve">Apertura formal del sobre con testigo.</w:t>
      </w:r>
    </w:p>
    <w:p>
      <w:pPr>
        <w:numPr>
          <w:ilvl w:val="0"/>
          <w:numId w:val="1023"/>
        </w:numPr>
        <w:pStyle w:val="Compact"/>
      </w:pPr>
      <w:r>
        <w:t xml:space="preserve">Registro detallado de las acciones realizadas.</w:t>
      </w:r>
    </w:p>
    <w:p>
      <w:pPr>
        <w:numPr>
          <w:ilvl w:val="0"/>
          <w:numId w:val="1023"/>
        </w:numPr>
        <w:pStyle w:val="Compact"/>
      </w:pPr>
      <w:r>
        <w:t xml:space="preserve">Cambio inmediato de la credencial tras el uso.</w:t>
      </w:r>
    </w:p>
    <w:p>
      <w:pPr>
        <w:numPr>
          <w:ilvl w:val="0"/>
          <w:numId w:val="1023"/>
        </w:numPr>
        <w:pStyle w:val="Compact"/>
      </w:pPr>
      <w:r>
        <w:t xml:space="preserve">Resellado y almacenamiento de la nueva credencial.</w:t>
      </w:r>
    </w:p>
    <w:bookmarkEnd w:id="34"/>
    <w:bookmarkStart w:id="35" w:name="indicadores"/>
    <w:p>
      <w:pPr>
        <w:pStyle w:val="Heading2"/>
      </w:pPr>
      <w:r>
        <w:t xml:space="preserve">10. INDICADORES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medio de provisión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días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Cumplimiento plazos de revocación tras cese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Cuentas privilegiadas con MFA 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Cuentas huérfanas (sin revisión &gt; 12 meses)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Cuentas inactivas &gt; 90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5% del total</w:t>
            </w:r>
          </w:p>
        </w:tc>
      </w:tr>
    </w:tbl>
    <w:bookmarkEnd w:id="35"/>
    <w:bookmarkStart w:id="36" w:name="anexos"/>
    <w:p>
      <w:pPr>
        <w:pStyle w:val="Heading2"/>
      </w:pPr>
      <w:r>
        <w:t xml:space="preserve">11. ANEXOS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Anexo I:</w:t>
      </w:r>
      <w:r>
        <w:t xml:space="preserve"> </w:t>
      </w:r>
      <w:r>
        <w:t xml:space="preserve">Formulario de solicitud de acceso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Anexo II:</w:t>
      </w:r>
      <w:r>
        <w:t xml:space="preserve"> </w:t>
      </w:r>
      <w:r>
        <w:t xml:space="preserve">Formulario de modificación de acceso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Anexo III:</w:t>
      </w:r>
      <w:r>
        <w:t xml:space="preserve"> </w:t>
      </w:r>
      <w:r>
        <w:t xml:space="preserve">Lista de comprobación de baja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Anexo IV:</w:t>
      </w:r>
      <w:r>
        <w:t xml:space="preserve"> </w:t>
      </w:r>
      <w:r>
        <w:t xml:space="preserve">Plantilla de revisión periódica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Anexo V:</w:t>
      </w:r>
      <w:r>
        <w:t xml:space="preserve"> </w:t>
      </w:r>
      <w:r>
        <w:t xml:space="preserve">Registro de uso de cuentas break-glass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}}-205 — Versión {{ proyecto.version_actual }} — Clasificación: INTERNA</w:t>
      </w:r>
    </w:p>
    <w:bookmarkEnd w:id="36"/>
    <w:bookmarkEnd w:id="37"/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</w:tr>
    </w:tbl>
    <w:p>
      <w:r>
        <w:rPr>
          <w:sz w:val="2"/>
        </w:rPr>
        <w:t>&lt;!--FX_SIG_V2--&gt;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E-231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E-231 · PROCEDIMIENTO DE GESTIÓN DE CUENTAS Y ACCESOS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4">
    <w:nsid w:val="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8">
    <w:nsid w:val="A994128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abstractNum w:abstractNumId="994129">
    <w:nsid w:val="A994129"/>
    <w:multiLevelType w:val="multilevel"/>
    <w:lvl w:ilvl="0">
      <w:start w:val="29"/>
      <w:numFmt w:val="decimal"/>
      <w:lvlText w:val="%1."/>
      <w:lvlJc w:val="left"/>
      <w:pPr>
        <w:ind w:left="720" w:hanging="480"/>
      </w:pPr>
    </w:lvl>
    <w:lvl w:ilvl="1">
      <w:start w:val="29"/>
      <w:numFmt w:val="decimal"/>
      <w:lvlText w:val="%2."/>
      <w:lvlJc w:val="left"/>
      <w:pPr>
        <w:ind w:left="1440" w:hanging="480"/>
      </w:pPr>
    </w:lvl>
    <w:lvl w:ilvl="2">
      <w:start w:val="29"/>
      <w:numFmt w:val="decimal"/>
      <w:lvlText w:val="%3."/>
      <w:lvlJc w:val="left"/>
      <w:pPr>
        <w:ind w:left="2160" w:hanging="480"/>
      </w:pPr>
    </w:lvl>
    <w:lvl w:ilvl="3">
      <w:start w:val="29"/>
      <w:numFmt w:val="decimal"/>
      <w:lvlText w:val="%4."/>
      <w:lvlJc w:val="left"/>
      <w:pPr>
        <w:ind w:left="2880" w:hanging="480"/>
      </w:pPr>
    </w:lvl>
    <w:lvl w:ilvl="4">
      <w:start w:val="29"/>
      <w:numFmt w:val="decimal"/>
      <w:lvlText w:val="%5."/>
      <w:lvlJc w:val="left"/>
      <w:pPr>
        <w:ind w:left="3600" w:hanging="480"/>
      </w:pPr>
    </w:lvl>
    <w:lvl w:ilvl="5">
      <w:start w:val="29"/>
      <w:numFmt w:val="decimal"/>
      <w:lvlText w:val="%6."/>
      <w:lvlJc w:val="left"/>
      <w:pPr>
        <w:ind w:left="4320" w:hanging="480"/>
      </w:pPr>
    </w:lvl>
    <w:lvl w:ilvl="6">
      <w:start w:val="29"/>
      <w:numFmt w:val="decimal"/>
      <w:lvlText w:val="%7."/>
      <w:lvlJc w:val="left"/>
      <w:pPr>
        <w:ind w:left="5040" w:hanging="480"/>
      </w:pPr>
    </w:lvl>
    <w:lvl w:ilvl="7">
      <w:start w:val="29"/>
      <w:numFmt w:val="decimal"/>
      <w:lvlText w:val="%8."/>
      <w:lvlJc w:val="left"/>
      <w:pPr>
        <w:ind w:left="5760" w:hanging="480"/>
      </w:pPr>
    </w:lvl>
    <w:lvl w:ilvl="8">
      <w:start w:val="29"/>
      <w:numFmt w:val="decimal"/>
      <w:lvlText w:val="%9."/>
      <w:lvlJc w:val="left"/>
      <w:pPr>
        <w:ind w:left="6480" w:hanging="480"/>
      </w:pPr>
    </w:lvl>
  </w:abstractNum>
  <w:abstractNum w:abstractNumId="994131">
    <w:nsid w:val="A994131"/>
    <w:multiLevelType w:val="multilevel"/>
    <w:lvl w:ilvl="0">
      <w:start w:val="31"/>
      <w:numFmt w:val="decimal"/>
      <w:lvlText w:val="%1."/>
      <w:lvlJc w:val="left"/>
      <w:pPr>
        <w:ind w:left="720" w:hanging="480"/>
      </w:pPr>
    </w:lvl>
    <w:lvl w:ilvl="1">
      <w:start w:val="31"/>
      <w:numFmt w:val="decimal"/>
      <w:lvlText w:val="%2."/>
      <w:lvlJc w:val="left"/>
      <w:pPr>
        <w:ind w:left="1440" w:hanging="480"/>
      </w:pPr>
    </w:lvl>
    <w:lvl w:ilvl="2">
      <w:start w:val="31"/>
      <w:numFmt w:val="decimal"/>
      <w:lvlText w:val="%3."/>
      <w:lvlJc w:val="left"/>
      <w:pPr>
        <w:ind w:left="2160" w:hanging="480"/>
      </w:pPr>
    </w:lvl>
    <w:lvl w:ilvl="3">
      <w:start w:val="31"/>
      <w:numFmt w:val="decimal"/>
      <w:lvlText w:val="%4."/>
      <w:lvlJc w:val="left"/>
      <w:pPr>
        <w:ind w:left="2880" w:hanging="480"/>
      </w:pPr>
    </w:lvl>
    <w:lvl w:ilvl="4">
      <w:start w:val="31"/>
      <w:numFmt w:val="decimal"/>
      <w:lvlText w:val="%5."/>
      <w:lvlJc w:val="left"/>
      <w:pPr>
        <w:ind w:left="3600" w:hanging="480"/>
      </w:pPr>
    </w:lvl>
    <w:lvl w:ilvl="5">
      <w:start w:val="31"/>
      <w:numFmt w:val="decimal"/>
      <w:lvlText w:val="%6."/>
      <w:lvlJc w:val="left"/>
      <w:pPr>
        <w:ind w:left="4320" w:hanging="480"/>
      </w:pPr>
    </w:lvl>
    <w:lvl w:ilvl="6">
      <w:start w:val="31"/>
      <w:numFmt w:val="decimal"/>
      <w:lvlText w:val="%7."/>
      <w:lvlJc w:val="left"/>
      <w:pPr>
        <w:ind w:left="5040" w:hanging="480"/>
      </w:pPr>
    </w:lvl>
    <w:lvl w:ilvl="7">
      <w:start w:val="31"/>
      <w:numFmt w:val="decimal"/>
      <w:lvlText w:val="%8."/>
      <w:lvlJc w:val="left"/>
      <w:pPr>
        <w:ind w:left="5760" w:hanging="480"/>
      </w:pPr>
    </w:lvl>
    <w:lvl w:ilvl="8">
      <w:start w:val="3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1"/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5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16">
    <w:abstractNumId w:val="991"/>
  </w:num>
  <w:num w:numId="1017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18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19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20">
    <w:abstractNumId w:val="991"/>
  </w:num>
  <w:num w:numId="1021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22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2026-04-14T18:00:40Z</dcterms:created>
  <dcterms:modified xsi:type="dcterms:W3CDTF">2026-04-14T18:00:40Z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}}-205</vt:lpwstr>
  </property>
  <property fmtid="{D5CDD505-2E9C-101B-9397-08002B2CF9AE}" pid="4" name="fecha_aprobacion">
    <vt:lpwstr>{{ proyecto.fecha_aprobacion_inicial }}</vt:lpwstr>
  </property>
  <property fmtid="{D5CDD505-2E9C-101B-9397-08002B2CF9AE}" pid="5" name="fecha_proxima_revision">
    <vt:lpwstr>{{ proyecto.proxima_revision }}</vt:lpwstr>
  </property>
  <property fmtid="{D5CDD505-2E9C-101B-9397-08002B2CF9AE}" pid="6" name="politica_madre">
    <vt:lpwstr>{{ proyecto.codigo_documento_base }}-102</vt:lpwstr>
  </property>
  <property fmtid="{D5CDD505-2E9C-101B-9397-08002B2CF9AE}" pid="7" name="propietario">
    <vt:lpwstr>{{ responsables.responsable_seguridad.cargo }}</vt:lpwstr>
  </property>
  <property fmtid="{D5CDD505-2E9C-101B-9397-08002B2CF9AE}" pid="8" name="titulo">
    <vt:lpwstr>Procedimiento de Gestión de Cuentas y Accesos</vt:lpwstr>
  </property>
  <property fmtid="{D5CDD505-2E9C-101B-9397-08002B2CF9AE}" pid="9" name="version">
    <vt:lpwstr>{{ proyecto.version_actual }}</vt:lpwstr>
  </property>
</Properties>
</file>