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c94d1b9f15226a419d3a019807f3f6cec543e54"/>
    <w:p>
      <w:pPr>
        <w:pStyle w:val="Heading1"/>
      </w:pPr>
      <w:r>
        <w:t xml:space="preserve">PROCEDIMIENTO DE SELLADO DE TIEMPO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}}-235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X9895ad7d6233bb46f1f1ab0c9c1393c5bec2388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las acciones operativas para dotar de</w:t>
      </w:r>
      <w:r>
        <w:t xml:space="preserve"> </w:t>
      </w:r>
      <w:r>
        <w:rPr>
          <w:bCs/>
          <w:b/>
        </w:rPr>
        <w:t xml:space="preserve">datación fiable, verificable e irrefutable</w:t>
      </w:r>
      <w:r>
        <w:t xml:space="preserve"> </w:t>
      </w:r>
      <w:r>
        <w:t xml:space="preserve">a las evidencias, registros de actividad y documentos críticos de {{ cliente.razon_social }}, de modo que pueda demostrarse de forma fehaciente que un determinado dato existía en un instante concreto y no ha sido alterado posteriormente.</w:t>
      </w:r>
    </w:p>
    <w:p>
      <w:pPr>
        <w:pStyle w:val="BodyText"/>
      </w:pPr>
      <w:r>
        <w:t xml:space="preserve">Este procedimiento desarrolla la medida</w:t>
      </w:r>
      <w:r>
        <w:t xml:space="preserve"> </w:t>
      </w:r>
      <w:r>
        <w:rPr>
          <w:bCs/>
          <w:b/>
        </w:rPr>
        <w:t xml:space="preserve">mp.info.4 (Sellos de tiempo)</w:t>
      </w:r>
      <w:r>
        <w:t xml:space="preserve"> </w:t>
      </w:r>
      <w:r>
        <w:t xml:space="preserve">del Anexo II del Real Decreto 311/2022, alineada con la guía</w:t>
      </w:r>
      <w:r>
        <w:t xml:space="preserve"> </w:t>
      </w:r>
      <w:r>
        <w:rPr>
          <w:bCs/>
          <w:b/>
        </w:rPr>
        <w:t xml:space="preserve">CCN-STIC 807 (criptología en el ENS)</w:t>
      </w:r>
      <w:r>
        <w:t xml:space="preserve"> </w:t>
      </w:r>
      <w:r>
        <w:t xml:space="preserve">y con el</w:t>
      </w:r>
      <w:r>
        <w:t xml:space="preserve"> </w:t>
      </w:r>
      <w:r>
        <w:rPr>
          <w:bCs/>
          <w:b/>
        </w:rPr>
        <w:t xml:space="preserve">Reglamento (UE) 910/2014 (eIDAS)</w:t>
      </w:r>
      <w:r>
        <w:t xml:space="preserve"> </w:t>
      </w:r>
      <w:r>
        <w:t xml:space="preserve">en lo relativo a sellos electrónicos de tiempo cualificados.</w:t>
      </w:r>
    </w:p>
    <w:bookmarkEnd w:id="20"/>
    <w:bookmarkStart w:id="21" w:name="X8c49890cab2394ad6fc610767a1938515fcd0ca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</w:t>
      </w:r>
      <w:r>
        <w:t xml:space="preserve"> </w:t>
      </w:r>
      <w:r>
        <w:rPr>
          <w:bCs/>
          <w:b/>
        </w:rPr>
        <w:t xml:space="preserve">exclusivamente a sistemas de categoría ALTA</w:t>
      </w:r>
      <w:r>
        <w:t xml:space="preserve"> </w:t>
      </w:r>
      <w:r>
        <w:t xml:space="preserve">(la medida mp.info.4 no es exigible en BÁSICA ni MEDIA). Dentro de ese alcance cubre:</w:t>
      </w:r>
    </w:p>
    <w:p>
      <w:pPr>
        <w:numPr>
          <w:ilvl w:val="0"/>
          <w:numId w:val="1001"/>
        </w:numPr>
        <w:pStyle w:val="Compact"/>
      </w:pPr>
      <w:r>
        <w:t xml:space="preserve">Registros de auditoría y trazas con valor probatorio (op.exp.8).</w:t>
      </w:r>
    </w:p>
    <w:p>
      <w:pPr>
        <w:numPr>
          <w:ilvl w:val="0"/>
          <w:numId w:val="1001"/>
        </w:numPr>
        <w:pStyle w:val="Compact"/>
      </w:pPr>
      <w:r>
        <w:t xml:space="preserve">Evidencias de cumplimiento aportadas a la auditoría de certificación ENAC.</w:t>
      </w:r>
    </w:p>
    <w:p>
      <w:pPr>
        <w:numPr>
          <w:ilvl w:val="0"/>
          <w:numId w:val="1001"/>
        </w:numPr>
        <w:pStyle w:val="Compact"/>
      </w:pPr>
      <w:r>
        <w:t xml:space="preserve">Documentos firmados electrónicamente cuyo momento de firma deba acreditarse frente a terceros.</w:t>
      </w:r>
    </w:p>
    <w:p>
      <w:pPr>
        <w:numPr>
          <w:ilvl w:val="0"/>
          <w:numId w:val="1001"/>
        </w:numPr>
        <w:pStyle w:val="Compact"/>
      </w:pPr>
      <w:r>
        <w:t xml:space="preserve">Asientos del registro de actividad que sustenten la respuesta ante incidentes (op.exp.7) o requerimientos legales.</w:t>
      </w:r>
    </w:p>
    <w:bookmarkEnd w:id="21"/>
    <w:bookmarkStart w:id="22" w:name="X1bb8e198e654e044030173ee265d32609e5b1c3"/>
    <w:p>
      <w:pPr>
        <w:pStyle w:val="Heading2"/>
      </w:pPr>
      <w:r>
        <w:t xml:space="preserve">3. MARCO NORMATIVO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RD 311/2022, Anexo II — mp.info.4 (Sellos de tiempo)</w:t>
      </w:r>
      <w:r>
        <w:t xml:space="preserve">: refuerzo R1 en categoría ALTA. Criterio de conformidad:</w:t>
      </w:r>
      <w:r>
        <w:t xml:space="preserve"> </w:t>
      </w:r>
      <w:r>
        <w:rPr>
          <w:iCs/>
          <w:i/>
        </w:rPr>
        <w:t xml:space="preserve">sello de tiempo cualificado emitido por una autoridad de sellado de confianza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CCN-STIC 807</w:t>
      </w:r>
      <w:r>
        <w:t xml:space="preserve">: empleo de mecanismos criptográficos acreditados en el ENS.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Reglamento (UE) 910/2014 (eIDAS), art. 41–42</w:t>
      </w:r>
      <w:r>
        <w:t xml:space="preserve">: sellos cualificados de tiempo electrónico y sus efectos jurídicos.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RFC 3161 / RFC 5816</w:t>
      </w:r>
      <w:r>
        <w:t xml:space="preserve">: protocolo Time-Stamp Protocol (TSP) y formato del token de sello (</w:t>
      </w:r>
      <w:r>
        <w:rPr>
          <w:rStyle w:val="VerbatimChar"/>
        </w:rPr>
        <w:t xml:space="preserve">.tsr</w:t>
      </w:r>
      <w:r>
        <w:t xml:space="preserve">).</w:t>
      </w:r>
    </w:p>
    <w:bookmarkEnd w:id="22"/>
    <w:bookmarkStart w:id="23" w:name="Xbd2edd32123fde4e4ab85dc9aaa178066a79883"/>
    <w:p>
      <w:pPr>
        <w:pStyle w:val="Heading2"/>
      </w:pPr>
      <w:r>
        <w:t xml:space="preserve">4. MECANISMO INTERNO DE INTEGRIDAD CRONOLÓGICA (base actual)</w:t>
      </w:r>
    </w:p>
    <w:p>
      <w:pPr>
        <w:pStyle w:val="FirstParagraph"/>
      </w:pPr>
      <w:r>
        <w:t xml:space="preserve">Con independencia del sellado cualificado externo, la plataforma sostiene de forma permanente la</w:t>
      </w:r>
      <w:r>
        <w:t xml:space="preserve"> </w:t>
      </w:r>
      <w:r>
        <w:rPr>
          <w:bCs/>
          <w:b/>
        </w:rPr>
        <w:t xml:space="preserve">integridad y el orden cronológico</w:t>
      </w:r>
      <w:r>
        <w:t xml:space="preserve"> </w:t>
      </w:r>
      <w:r>
        <w:t xml:space="preserve">de los registros mediante dos mecanismos propios: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Cadena de hash del registro de auditoría (</w:t>
      </w:r>
      <w:r>
        <w:rPr>
          <w:rStyle w:val="VerbatimChar"/>
          <w:bCs/>
          <w:b/>
        </w:rPr>
        <w:t xml:space="preserve">audit_log</w:t>
      </w:r>
      <w:r>
        <w:rPr>
          <w:bCs/>
          <w:b/>
        </w:rPr>
        <w:t xml:space="preserve">)</w:t>
      </w:r>
      <w:r>
        <w:t xml:space="preserve"> </w:t>
      </w:r>
      <w:r>
        <w:t xml:space="preserve">— cada asiento encadena un</w:t>
      </w:r>
      <w:r>
        <w:t xml:space="preserve"> </w:t>
      </w:r>
      <w:r>
        <w:rPr>
          <w:rStyle w:val="VerbatimChar"/>
        </w:rPr>
        <w:t xml:space="preserve">SHA-256</w:t>
      </w:r>
      <w:r>
        <w:t xml:space="preserve"> </w:t>
      </w:r>
      <w:r>
        <w:t xml:space="preserve">con el hash del asiento anterior (trigger inmutable en base de datos). Cualquier alteración o reordenación retroactiva rompe la cadena y es detectable. Esto aporta</w:t>
      </w:r>
      <w:r>
        <w:t xml:space="preserve"> </w:t>
      </w:r>
      <w:r>
        <w:rPr>
          <w:bCs/>
          <w:b/>
        </w:rPr>
        <w:t xml:space="preserve">integridad + secuencia</w:t>
      </w:r>
      <w:r>
        <w:t xml:space="preserve">, no datación cualificada por tercero de confianza.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Firmas Ed25519 de eventos críticos (motor de firma)</w:t>
      </w:r>
      <w:r>
        <w:t xml:space="preserve"> </w:t>
      </w:r>
      <w:r>
        <w:t xml:space="preserve">— los eventos firmados incorporan su instante UTC (</w:t>
      </w:r>
      <w:r>
        <w:rPr>
          <w:rStyle w:val="VerbatimChar"/>
        </w:rPr>
        <w:t xml:space="preserve">signed_at</w:t>
      </w:r>
      <w:r>
        <w:t xml:space="preserve">) y un</w:t>
      </w:r>
      <w:r>
        <w:t xml:space="preserve"> </w:t>
      </w:r>
      <w:r>
        <w:rPr>
          <w:rStyle w:val="VerbatimChar"/>
        </w:rPr>
        <w:t xml:space="preserve">event_hash</w:t>
      </w:r>
      <w:r>
        <w:t xml:space="preserve">, verificables con la clave pública.</w:t>
      </w:r>
    </w:p>
    <w:p>
      <w:pPr>
        <w:pStyle w:val="BlockText"/>
      </w:pPr>
      <w:r>
        <w:rPr>
          <w:bCs/>
          <w:b/>
        </w:rPr>
        <w:t xml:space="preserve">Brecha de cualificación (honestidad documental).</w:t>
      </w:r>
      <w:r>
        <w:t xml:space="preserve"> </w:t>
      </w:r>
      <w:r>
        <w:t xml:space="preserve">Estos mecanismos son</w:t>
      </w:r>
      <w:r>
        <w:t xml:space="preserve"> </w:t>
      </w:r>
      <w:r>
        <w:rPr>
          <w:bCs/>
          <w:b/>
        </w:rPr>
        <w:t xml:space="preserve">internos</w:t>
      </w:r>
      <w:r>
        <w:t xml:space="preserve">: prueban integridad y cronología relativa, pero</w:t>
      </w:r>
      <w:r>
        <w:t xml:space="preserve"> </w:t>
      </w:r>
      <w:r>
        <w:rPr>
          <w:bCs/>
          <w:b/>
        </w:rPr>
        <w:t xml:space="preserve">no constituyen un sello de tiempo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cualificado</w:t>
      </w:r>
      <w:r>
        <w:t xml:space="preserve"> </w:t>
      </w:r>
      <w:r>
        <w:t xml:space="preserve">en el sentido de eIDAS (que requiere una TSA acreditada e independiente). La sección 5 cubre esa brecha para los proyectos ALTA.</w:t>
      </w:r>
    </w:p>
    <w:bookmarkEnd w:id="23"/>
    <w:bookmarkStart w:id="24" w:name="Xa912cf4aa1f3ad9a0c9cbf0c7d9af72ed195df0"/>
    <w:p>
      <w:pPr>
        <w:pStyle w:val="Heading2"/>
      </w:pPr>
      <w:r>
        <w:t xml:space="preserve">5. SELLADO DE TIEMPO CUALIFICADO (TSA eIDAS)</w:t>
      </w:r>
    </w:p>
    <w:p>
      <w:pPr>
        <w:pStyle w:val="FirstParagraph"/>
      </w:pPr>
      <w:r>
        <w:t xml:space="preserve">Para los sistemas de categoría ALTA se contrata un</w:t>
      </w:r>
      <w:r>
        <w:t xml:space="preserve"> </w:t>
      </w:r>
      <w:r>
        <w:rPr>
          <w:bCs/>
          <w:b/>
        </w:rPr>
        <w:t xml:space="preserve">prestador cualificado de servicios de confianza (TSP)</w:t>
      </w:r>
      <w:r>
        <w:t xml:space="preserve"> </w:t>
      </w:r>
      <w:r>
        <w:t xml:space="preserve">que emita sellos de tiempo conforme a eIDAS y RFC 3161: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Selección de la TSA</w:t>
      </w:r>
      <w:r>
        <w:t xml:space="preserve"> </w:t>
      </w:r>
      <w:r>
        <w:t xml:space="preserve">— prestador incluido en la</w:t>
      </w:r>
      <w:r>
        <w:t xml:space="preserve"> </w:t>
      </w:r>
      <w:r>
        <w:rPr>
          <w:iCs/>
          <w:i/>
        </w:rPr>
        <w:t xml:space="preserve">Trusted List</w:t>
      </w:r>
      <w:r>
        <w:t xml:space="preserve"> </w:t>
      </w:r>
      <w:r>
        <w:t xml:space="preserve">española/europea (p. ej. FNMT-RCM, Uanataca, u otro TSP cualificado), a confirmar en el arranque del primer proyecto de categoría ALTA.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Solicitud del sello</w:t>
      </w:r>
      <w:r>
        <w:t xml:space="preserve"> </w:t>
      </w:r>
      <w:r>
        <w:t xml:space="preserve">— para cada evidencia crítica se calcula su huella</w:t>
      </w:r>
      <w:r>
        <w:t xml:space="preserve"> </w:t>
      </w:r>
      <w:r>
        <w:rPr>
          <w:rStyle w:val="VerbatimChar"/>
        </w:rPr>
        <w:t xml:space="preserve">SHA-256</w:t>
      </w:r>
      <w:r>
        <w:t xml:space="preserve"> </w:t>
      </w:r>
      <w:r>
        <w:t xml:space="preserve">y se envía una</w:t>
      </w:r>
      <w:r>
        <w:t xml:space="preserve"> </w:t>
      </w:r>
      <w:r>
        <w:rPr>
          <w:iCs/>
          <w:i/>
        </w:rPr>
        <w:t xml:space="preserve">TimeStampRequest</w:t>
      </w:r>
      <w:r>
        <w:t xml:space="preserve"> </w:t>
      </w:r>
      <w:r>
        <w:t xml:space="preserve">(RFC 3161) al endpoint TSP;</w:t>
      </w:r>
      <w:r>
        <w:t xml:space="preserve"> </w:t>
      </w:r>
      <w:r>
        <w:rPr>
          <w:bCs/>
          <w:b/>
        </w:rPr>
        <w:t xml:space="preserve">nunca se envía el contenido</w:t>
      </w:r>
      <w:r>
        <w:t xml:space="preserve">, solo la huella.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Custodia del token</w:t>
      </w:r>
      <w:r>
        <w:t xml:space="preserve"> </w:t>
      </w:r>
      <w:r>
        <w:t xml:space="preserve">— el</w:t>
      </w:r>
      <w:r>
        <w:t xml:space="preserve"> </w:t>
      </w:r>
      <w:r>
        <w:rPr>
          <w:iCs/>
          <w:i/>
        </w:rPr>
        <w:t xml:space="preserve">TimeStampToken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.tsr</w:t>
      </w:r>
      <w:r>
        <w:t xml:space="preserve">) devuelto se almacena junto al documento/evidencia en el gestor documental (IDMS), enlazado a su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Verificación</w:t>
      </w:r>
      <w:r>
        <w:t xml:space="preserve"> </w:t>
      </w:r>
      <w:r>
        <w:t xml:space="preserve">— la validez del sello (firma de la TSA + correspondencia de huella) se comprueba en cualquier momento contra el certificado de la TSA.</w:t>
      </w:r>
    </w:p>
    <w:bookmarkEnd w:id="24"/>
    <w:bookmarkStart w:id="25" w:name="Xdd7b2195ffe9237e1ca9cc278f3d1183b124f34"/>
    <w:p>
      <w:pPr>
        <w:pStyle w:val="Heading2"/>
      </w:pPr>
      <w:r>
        <w:t xml:space="preserve">6. PROCEDIMIENTO OPERATIVO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Identificar el conjunto de evidencias/registros sujetos a sellado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responsables.responsable_seguridad.cargo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de activos de información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Calcular la huella</w:t>
            </w:r>
            <w:r>
              <w:t xml:space="preserve"> </w:t>
            </w:r>
            <w:r>
              <w:rPr>
                <w:rStyle w:val="VerbatimChar"/>
              </w:rPr>
              <w:t xml:space="preserve">SHA-256</w:t>
            </w:r>
            <w:r>
              <w:t xml:space="preserve"> </w:t>
            </w:r>
            <w:r>
              <w:t xml:space="preserve">de cada 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(automático)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content_hash</w:t>
            </w:r>
            <w:r>
              <w:t xml:space="preserve"> </w:t>
            </w:r>
            <w:r>
              <w:t xml:space="preserve">en IDMS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Solicitar el sello cualificado a la TSA (RFC 3161)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/ TSP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.tsr</w:t>
            </w:r>
            <w:r>
              <w:t xml:space="preserve"> </w:t>
            </w:r>
            <w:r>
              <w:t xml:space="preserve">recibido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Custodiar el token enlazado a la 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(IDMS)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sellos de tiempo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periódicamente la validez de los sellos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responsables.responsable_seguridad.cargo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verificación</w:t>
            </w:r>
          </w:p>
        </w:tc>
      </w:tr>
    </w:tbl>
    <w:bookmarkEnd w:id="25"/>
    <w:bookmarkStart w:id="26" w:name="X1dddc1efab54ff41d8e64c71bea7fc6d9fc1d97"/>
    <w:p>
      <w:pPr>
        <w:pStyle w:val="Heading2"/>
      </w:pPr>
      <w:r>
        <w:t xml:space="preserve">7. ROLES Y RESPONSABILIDADES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{{ responsables.responsable_seguridad.cargo }}</w:t>
      </w:r>
      <w:r>
        <w:t xml:space="preserve">: aprueba el alcance, supervisa la contratación de la TSA y la verificación periódica.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Equipo de Fulkro</w:t>
      </w:r>
      <w:r>
        <w:t xml:space="preserve">: implementa y opera la integración técnica RFC 3161 y la custodia de tokens.</w:t>
      </w:r>
    </w:p>
    <w:bookmarkEnd w:id="26"/>
    <w:bookmarkStart w:id="27" w:name="Xba291a3d7024a96973c44d7a63bc164fdd7d011"/>
    <w:p>
      <w:pPr>
        <w:pStyle w:val="Heading2"/>
      </w:pPr>
      <w:r>
        <w:t xml:space="preserve">8. REGISTRO Y CONSERVACIÓN DE EVIDENCIAS</w:t>
      </w:r>
    </w:p>
    <w:p>
      <w:pPr>
        <w:pStyle w:val="FirstParagraph"/>
      </w:pPr>
      <w:r>
        <w:t xml:space="preserve">Los tokens de sello (</w:t>
      </w:r>
      <w:r>
        <w:rPr>
          <w:rStyle w:val="VerbatimChar"/>
        </w:rPr>
        <w:t xml:space="preserve">.tsr</w:t>
      </w:r>
      <w:r>
        <w:t xml:space="preserve">) se conservan durante el mismo periodo que la evidencia sellada, con un mínimo alineado a la política de retención de registros ({{ proyecto.codigo_documento_base }}-127, op.exp.8). La pérdida de un token no invalida la evidencia, pero sí su valor probatorio cualificado.</w:t>
      </w:r>
    </w:p>
    <w:bookmarkEnd w:id="27"/>
    <w:bookmarkStart w:id="28" w:name="X704d8b0d52988689711fcba4ded6d2032b54586"/>
    <w:p>
      <w:pPr>
        <w:pStyle w:val="Heading2"/>
      </w:pPr>
      <w:r>
        <w:t xml:space="preserve">9. REVISIÓN</w:t>
      </w:r>
    </w:p>
    <w:p>
      <w:pPr>
        <w:pStyle w:val="FirstParagraph"/>
      </w:pPr>
      <w:r>
        <w:t xml:space="preserve">Este procedimiento se revisa con periodicidad</w:t>
      </w:r>
      <w:r>
        <w:t xml:space="preserve"> </w:t>
      </w:r>
      <w:r>
        <w:rPr>
          <w:bCs/>
          <w:b/>
        </w:rPr>
        <w:t xml:space="preserve">anual</w:t>
      </w:r>
      <w:r>
        <w:t xml:space="preserve"> </w:t>
      </w:r>
      <w:r>
        <w:t xml:space="preserve">o ante cambios en el prestador TSA, en la normativa eIDAS aplicable o en la categoría del sistema. La próxima revisión está prevista para {{ proyecto.proxima_revision }}.</w:t>
      </w:r>
    </w:p>
    <w:bookmarkEnd w:id="28"/>
    <w:bookmarkEnd w:id="29"/>
    <w:p/>
    <w:p>
      <w:r>
        <w:rPr>
          <w:b/>
          <w:color w:val="0B1F3A"/>
          <w:sz w:val="24"/>
        </w:rPr>
        <w:t>APROBACIONES Y FIRMAS</w:t>
      </w:r>
    </w:p>
    <w:p>
      <w:r>
        <w:rPr>
          <w:b w:val="0"/>
          <w:color w:val="0B1F3A"/>
          <w:sz w:val="20"/>
        </w:rPr>
        <w:t>El presente documento se aprueba mediante las firmas de los intervinientes que se relacionan a continuación. Cuando la firma se realiza digitalmente a través del portal del proyecto, el hash SHA-256 y el código QR de verificación se consignan bajo el nombre del firmante.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ELABORADO POR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APROBADO POR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firmas.elaborado.nombre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firmas.revisado.nombre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firmas.elaborado.cargo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firmas.revisado.cargo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firmas.elaborado.fecha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firmas.revisado.fecha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firmas.elaborado.firma_marca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firmas.revisado.firma_marca }}</w:t>
            </w:r>
          </w:p>
        </w:tc>
      </w:tr>
    </w:tbl>
    <w:p>
      <w:r>
        <w:rPr>
          <w:sz w:val="2"/>
        </w:rPr>
        <w:t>&lt;!--FX_SIG_V2--&gt;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E-235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E-235 · PROCEDIMIENTO DE SELLADO DE TIEMPO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2026-06-12T09:35:46Z</dcterms:created>
  <dcterms:modified xsi:type="dcterms:W3CDTF">2026-06-12T09:35:46Z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lica_categorias">
    <vt:lpwstr/>
  </property>
  <property fmtid="{D5CDD505-2E9C-101B-9397-08002B2CF9AE}" pid="3" name="clasificacion">
    <vt:lpwstr>INTERNA</vt:lpwstr>
  </property>
  <property fmtid="{D5CDD505-2E9C-101B-9397-08002B2CF9AE}" pid="4" name="codigo_documento">
    <vt:lpwstr>{{ proyecto.codigo_documento_base }}-235</vt:lpwstr>
  </property>
  <property fmtid="{D5CDD505-2E9C-101B-9397-08002B2CF9AE}" pid="5" name="fecha_aprobacion">
    <vt:lpwstr>{{ proyecto.fecha_aprobacion_inicial }}</vt:lpwstr>
  </property>
  <property fmtid="{D5CDD505-2E9C-101B-9397-08002B2CF9AE}" pid="6" name="fecha_proxima_revision">
    <vt:lpwstr>{{ proyecto.proxima_revision }}</vt:lpwstr>
  </property>
  <property fmtid="{D5CDD505-2E9C-101B-9397-08002B2CF9AE}" pid="7" name="medidas_ens">
    <vt:lpwstr/>
  </property>
  <property fmtid="{D5CDD505-2E9C-101B-9397-08002B2CF9AE}" pid="8" name="politica_madre">
    <vt:lpwstr>{{ proyecto.codigo_documento_base }}-107</vt:lpwstr>
  </property>
  <property fmtid="{D5CDD505-2E9C-101B-9397-08002B2CF9AE}" pid="9" name="propietario">
    <vt:lpwstr>{{ responsables.responsable_seguridad.cargo }}</vt:lpwstr>
  </property>
  <property fmtid="{D5CDD505-2E9C-101B-9397-08002B2CF9AE}" pid="10" name="titulo">
    <vt:lpwstr>Procedimiento de Sellado de Tiempo</vt:lpwstr>
  </property>
  <property fmtid="{D5CDD505-2E9C-101B-9397-08002B2CF9AE}" pid="11" name="version">
    <vt:lpwstr>{{ proyecto.version_actual }}</vt:lpwstr>
  </property>
</Properties>
</file>