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79e9662dfae0e37aa3ee5b4ce6a23b79a2076d"/>
    <w:p>
      <w:pPr>
        <w:pStyle w:val="Heading1"/>
      </w:pPr>
      <w:r>
        <w:t xml:space="preserve">PLAN DE CONTINUIDAD DEL NEGOCIO DE {{ cliente.razon_social|upper }}</w:t>
      </w:r>
    </w:p>
    <w:p>
      <w:pPr>
        <w:pStyle w:val="FirstParagraph"/>
      </w:pPr>
      <w:r>
        <w:t xml:space="preserve">Documento {{ proyecto.codigo_documento_base }}-402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Plan de Continuidad del Negocio (BCP) ha sido elaborado por {{ responsables.consultor.nombre }},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Plan establece las acciones que {{ cliente.razon_social }} debe ejecutar cuando se produce una disrupción mayor que compromete la operación normal del sistema {{ proyecto.sistema_principal }}, con el fin de:</w:t>
      </w:r>
    </w:p>
    <w:p>
      <w:pPr>
        <w:numPr>
          <w:ilvl w:val="0"/>
          <w:numId w:val="1001"/>
        </w:numPr>
        <w:pStyle w:val="Compact"/>
      </w:pPr>
      <w:r>
        <w:t xml:space="preserve">Preservar la vida y la seguridad de las personas.</w:t>
      </w:r>
    </w:p>
    <w:p>
      <w:pPr>
        <w:numPr>
          <w:ilvl w:val="0"/>
          <w:numId w:val="1001"/>
        </w:numPr>
        <w:pStyle w:val="Compact"/>
      </w:pPr>
      <w:r>
        <w:t xml:space="preserve">Restaurar los procesos críticos en los plazos definidos en el BIA E-400.</w:t>
      </w:r>
    </w:p>
    <w:p>
      <w:pPr>
        <w:numPr>
          <w:ilvl w:val="0"/>
          <w:numId w:val="1001"/>
        </w:numPr>
        <w:pStyle w:val="Compact"/>
      </w:pPr>
      <w:r>
        <w:t xml:space="preserve">Limitar los impactos económicos, reputacionales, legales y operativos.</w:t>
      </w:r>
    </w:p>
    <w:p>
      <w:pPr>
        <w:numPr>
          <w:ilvl w:val="0"/>
          <w:numId w:val="1001"/>
        </w:numPr>
        <w:pStyle w:val="Compact"/>
      </w:pPr>
      <w:r>
        <w:t xml:space="preserve">Cumplir las obligaciones del Esquema Nacional de Seguridad (RD 311/2022, medida</w:t>
      </w:r>
      <w:r>
        <w:t xml:space="preserve"> </w:t>
      </w:r>
      <w:r>
        <w:rPr>
          <w:bCs/>
          <w:b/>
        </w:rPr>
        <w:t xml:space="preserve">op.cont.2 Plan de Continuidad</w:t>
      </w:r>
      <w:r>
        <w:t xml:space="preserve">) y normas concurrentes (UNE-ISO 22301:2020, CCN-STIC-808).</w:t>
      </w:r>
    </w:p>
    <w:bookmarkEnd w:id="22"/>
    <w:bookmarkStart w:id="23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El BCP aplica al sistema {{ proyecto.sistema_principal }} en su alcance {{ proyecto.alcance }} y al conjunto de procesos críticos identificados en el E-400 BIA. Cubre disrupciones originadas por causas naturales, técnicas, humanas, de cadena de suministro o ciberataque.</w:t>
      </w:r>
    </w:p>
    <w:p>
      <w:pPr>
        <w:pStyle w:val="BodyText"/>
      </w:pPr>
      <w:r>
        <w:t xml:space="preserve">Quedan fuera del BCP los procedimientos técnicos detallados de recuperación de sistemas TIC, desarrollados en el Plan de Recuperación de Desastres (E-403 DRP).</w:t>
      </w:r>
    </w:p>
    <w:bookmarkEnd w:id="23"/>
    <w:bookmarkStart w:id="27" w:name="X5343167335681838713a3642e0ba1e4b8800251"/>
    <w:p>
      <w:pPr>
        <w:pStyle w:val="Heading2"/>
      </w:pPr>
      <w:r>
        <w:t xml:space="preserve">3. ESTRUCTURA ORGANIZATIVA DE LA CONTINUIDAD</w:t>
      </w:r>
    </w:p>
    <w:bookmarkStart w:id="24" w:name="Xb265ff10659682e9396d14e25859f24a4787807"/>
    <w:p>
      <w:pPr>
        <w:pStyle w:val="Heading3"/>
      </w:pPr>
      <w:r>
        <w:t xml:space="preserve">3.1 Comité de Continuidad</w:t>
      </w:r>
    </w:p>
    <w:p>
      <w:pPr>
        <w:pStyle w:val="FirstParagraph"/>
      </w:pPr>
      <w:r>
        <w:t xml:space="preserve">Órgano de gobierno responsable de la activación, dirección y desactivación del BCP. Composición: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Presidente</w:t>
      </w:r>
      <w:r>
        <w:t xml:space="preserve">: {{ responsables.comite_seguridad.presidente }} ({{ cliente.organo_aprobador_politicas }}).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Secretario</w:t>
      </w:r>
      <w:r>
        <w:t xml:space="preserve">: {{ responsables.comite_seguridad.secretario }}.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Miembros</w:t>
      </w:r>
      <w:r>
        <w:t xml:space="preserve">: {{ responsables.comite_seguridad.miembros|join(', ') }}.</w:t>
      </w:r>
    </w:p>
    <w:p>
      <w:pPr>
        <w:pStyle w:val="FirstParagraph"/>
      </w:pPr>
      <w:r>
        <w:t xml:space="preserve">Decisiones cubiertas: declaración formal del incidente como activador del BCP, asignación de recursos extraordinarios, comunicación a stakeholders externos y declaración de fin de la crisis.</w:t>
      </w:r>
    </w:p>
    <w:bookmarkEnd w:id="24"/>
    <w:bookmarkStart w:id="25" w:name="X383cf0232e0c46bae5eeedd7c3aaa9379790e12"/>
    <w:p>
      <w:pPr>
        <w:pStyle w:val="Heading3"/>
      </w:pPr>
      <w:r>
        <w:t xml:space="preserve">3.2 Equipo de Coordinación BCP</w:t>
      </w:r>
    </w:p>
    <w:p>
      <w:pPr>
        <w:pStyle w:val="FirstParagraph"/>
      </w:pPr>
      <w:r>
        <w:t xml:space="preserve">Lidera la ejecución operativa del BCP bajo el mandato del Comité. Roles: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Coordinador BCP</w:t>
      </w:r>
      <w:r>
        <w:t xml:space="preserve">: {{ responsables.responsable_seguridad.nombre }}. Conduce la ejecución diaria.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Coordinador TIC</w:t>
      </w:r>
      <w:r>
        <w:t xml:space="preserve">: {{ responsables.responsable_sistema.nombre }}. Lidera la recuperación técnica conforme al DRP.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Coordinador Operaciones</w:t>
      </w:r>
      <w:r>
        <w:t xml:space="preserve">: {{ responsables.responsable_servicio.nombre }}. Gestiona los procesos de negocio en modo contingencia.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Coordinador Comunicación</w:t>
      </w:r>
      <w:r>
        <w:t xml:space="preserve">: designado conforme al E-404.</w:t>
      </w:r>
    </w:p>
    <w:bookmarkEnd w:id="25"/>
    <w:bookmarkStart w:id="26" w:name="X34f21e585efb5c9e0fee0159f89983c2f0a9c65"/>
    <w:p>
      <w:pPr>
        <w:pStyle w:val="Heading3"/>
      </w:pPr>
      <w:r>
        <w:t xml:space="preserve">3.3 Equipos Operativos por Proceso Crítico</w:t>
      </w:r>
    </w:p>
    <w:p>
      <w:pPr>
        <w:pStyle w:val="FirstParagraph"/>
      </w:pPr>
      <w:r>
        <w:t xml:space="preserve">Cada proceso crítico del E-400 BIA cuenta con un equipo operativo designado, con titular y suplente, capaz de ejecutar el procedimiento de contingencia correspondiente.</w:t>
      </w:r>
    </w:p>
    <w:bookmarkEnd w:id="26"/>
    <w:bookmarkEnd w:id="27"/>
    <w:bookmarkStart w:id="28" w:name="Xd49cfa0c0dc9a4658e4cd9d1a596f27f4b64939"/>
    <w:p>
      <w:pPr>
        <w:pStyle w:val="Heading2"/>
      </w:pPr>
      <w:r>
        <w:t xml:space="preserve">4. CRITERIOS DE ACTIVACIÓN</w:t>
      </w:r>
    </w:p>
    <w:p>
      <w:pPr>
        <w:pStyle w:val="FirstParagraph"/>
      </w:pPr>
      <w:r>
        <w:t xml:space="preserve">Se considera activador del BCP cualquier evento que cumpla uno o más de los siguientes criterios:</w:t>
      </w:r>
    </w:p>
    <w:p>
      <w:pPr>
        <w:numPr>
          <w:ilvl w:val="0"/>
          <w:numId w:val="1004"/>
        </w:numPr>
        <w:pStyle w:val="Compact"/>
      </w:pPr>
      <w:r>
        <w:t xml:space="preserve">Indisponibilidad estimada de un proceso crítico superior a su RTO objetivo definido en el BIA.</w:t>
      </w:r>
    </w:p>
    <w:p>
      <w:pPr>
        <w:numPr>
          <w:ilvl w:val="0"/>
          <w:numId w:val="1004"/>
        </w:numPr>
        <w:pStyle w:val="Compact"/>
      </w:pPr>
      <w:r>
        <w:t xml:space="preserve">Pérdida total o parcial de la ubicación principal de operaciones.</w:t>
      </w:r>
    </w:p>
    <w:p>
      <w:pPr>
        <w:numPr>
          <w:ilvl w:val="0"/>
          <w:numId w:val="1004"/>
        </w:numPr>
        <w:pStyle w:val="Compact"/>
      </w:pPr>
      <w:r>
        <w:t xml:space="preserve">Ciberataque masivo o brecha de seguridad que afecte a sistemas críticos del alcance ENS.</w:t>
      </w:r>
    </w:p>
    <w:p>
      <w:pPr>
        <w:numPr>
          <w:ilvl w:val="0"/>
          <w:numId w:val="1004"/>
        </w:numPr>
        <w:pStyle w:val="Compact"/>
      </w:pPr>
      <w:r>
        <w:t xml:space="preserve">Indisponibilidad simultánea de personal clave que impida la continuidad operativa.</w:t>
      </w:r>
    </w:p>
    <w:p>
      <w:pPr>
        <w:numPr>
          <w:ilvl w:val="0"/>
          <w:numId w:val="1004"/>
        </w:numPr>
        <w:pStyle w:val="Compact"/>
      </w:pPr>
      <w:r>
        <w:t xml:space="preserve">Indisponibilidad mantenida de un proveedor crítico sin sustituto inmediato.</w:t>
      </w:r>
    </w:p>
    <w:p>
      <w:pPr>
        <w:numPr>
          <w:ilvl w:val="0"/>
          <w:numId w:val="1004"/>
        </w:numPr>
        <w:pStyle w:val="Compact"/>
      </w:pPr>
      <w:r>
        <w:t xml:space="preserve">Crisis sanitaria, climática o de seguridad pública declarada por las autoridades.</w:t>
      </w:r>
    </w:p>
    <w:bookmarkEnd w:id="28"/>
    <w:bookmarkStart w:id="34" w:name="Xe7be655d3864eb2b7d8a10de23b1350777fb87a"/>
    <w:p>
      <w:pPr>
        <w:pStyle w:val="Heading2"/>
      </w:pPr>
      <w:r>
        <w:t xml:space="preserve">5. PROTOCOLO DE ACTIVACIÓN</w:t>
      </w:r>
    </w:p>
    <w:p>
      <w:pPr>
        <w:pStyle w:val="FirstParagraph"/>
      </w:pPr>
      <w:r>
        <w:t xml:space="preserve">La activación del BCP se ejecuta conforme a las siguientes fases:</w:t>
      </w:r>
    </w:p>
    <w:bookmarkStart w:id="29" w:name="Xd696ec6dc8e8ccd813e5a06b79bf1b92a22a6e3"/>
    <w:p>
      <w:pPr>
        <w:pStyle w:val="Heading3"/>
      </w:pPr>
      <w:r>
        <w:t xml:space="preserve">Fase 1 · Detección y notificación inicial (0-30 min)</w:t>
      </w:r>
    </w:p>
    <w:p>
      <w:pPr>
        <w:pStyle w:val="FirstParagraph"/>
      </w:pPr>
      <w:r>
        <w:t xml:space="preserve">Cualquier empleado o sistema de monitorización (SIEM/SOC) que detecte un evento que cumpla los criterios anteriores debe notificar inmediatamente a {{ responsables.responsable_seguridad.nombre }} a través de los canales definidos.</w:t>
      </w:r>
    </w:p>
    <w:bookmarkEnd w:id="29"/>
    <w:bookmarkStart w:id="30" w:name="fase-2--evaluación-preliminar-30-90-min"/>
    <w:p>
      <w:pPr>
        <w:pStyle w:val="Heading3"/>
      </w:pPr>
      <w:r>
        <w:t xml:space="preserve">Fase 2 · Evaluación preliminar (30-90 min)</w:t>
      </w:r>
    </w:p>
    <w:p>
      <w:pPr>
        <w:pStyle w:val="FirstParagraph"/>
      </w:pPr>
      <w:r>
        <w:t xml:space="preserve">El Coordinador BCP evalúa el alcance del evento y determina si procede convocar al Comité de Continuidad.</w:t>
      </w:r>
    </w:p>
    <w:bookmarkEnd w:id="30"/>
    <w:bookmarkStart w:id="31" w:name="Xfe3b91b79cb3f5a6391893e2d17dc7c6ed0f62c"/>
    <w:p>
      <w:pPr>
        <w:pStyle w:val="Heading3"/>
      </w:pPr>
      <w:r>
        <w:t xml:space="preserve">Fase 3 · Declaración formal (en 2 horas máximo)</w:t>
      </w:r>
    </w:p>
    <w:p>
      <w:pPr>
        <w:pStyle w:val="FirstParagraph"/>
      </w:pPr>
      <w:r>
        <w:t xml:space="preserve">El Comité de Continuidad, reunido presencialmente o por canal alterno, declara formalmente la activación del BCP. La declaración incluye:</w:t>
      </w:r>
    </w:p>
    <w:p>
      <w:pPr>
        <w:numPr>
          <w:ilvl w:val="0"/>
          <w:numId w:val="1005"/>
        </w:numPr>
        <w:pStyle w:val="Compact"/>
      </w:pPr>
      <w:r>
        <w:t xml:space="preserve">Identificación del evento activador.</w:t>
      </w:r>
    </w:p>
    <w:p>
      <w:pPr>
        <w:numPr>
          <w:ilvl w:val="0"/>
          <w:numId w:val="1005"/>
        </w:numPr>
        <w:pStyle w:val="Compact"/>
      </w:pPr>
      <w:r>
        <w:t xml:space="preserve">Procesos críticos afectados.</w:t>
      </w:r>
    </w:p>
    <w:p>
      <w:pPr>
        <w:numPr>
          <w:ilvl w:val="0"/>
          <w:numId w:val="1005"/>
        </w:numPr>
        <w:pStyle w:val="Compact"/>
      </w:pPr>
      <w:r>
        <w:t xml:space="preserve">Designación del Coordinador BCP en funciones.</w:t>
      </w:r>
    </w:p>
    <w:p>
      <w:pPr>
        <w:numPr>
          <w:ilvl w:val="0"/>
          <w:numId w:val="1005"/>
        </w:numPr>
        <w:pStyle w:val="Compact"/>
      </w:pPr>
      <w:r>
        <w:t xml:space="preserve">Autorización para ejecutar recursos extraordinarios.</w:t>
      </w:r>
    </w:p>
    <w:bookmarkEnd w:id="31"/>
    <w:bookmarkStart w:id="32" w:name="fase-4--comunicación-inicial"/>
    <w:p>
      <w:pPr>
        <w:pStyle w:val="Heading3"/>
      </w:pPr>
      <w:r>
        <w:t xml:space="preserve">Fase 4 · Comunicación inicial</w:t>
      </w:r>
    </w:p>
    <w:p>
      <w:pPr>
        <w:pStyle w:val="FirstParagraph"/>
      </w:pPr>
      <w:r>
        <w:t xml:space="preserve">Conforme al Plan de Comunicaciones en Crisis E-404 se notifica a stakeholders internos y, en su caso, externos.</w:t>
      </w:r>
    </w:p>
    <w:bookmarkEnd w:id="32"/>
    <w:bookmarkStart w:id="33" w:name="fase-5--ejecución-operativa"/>
    <w:p>
      <w:pPr>
        <w:pStyle w:val="Heading3"/>
      </w:pPr>
      <w:r>
        <w:t xml:space="preserve">Fase 5 · Ejecución operativa</w:t>
      </w:r>
    </w:p>
    <w:p>
      <w:pPr>
        <w:pStyle w:val="FirstParagraph"/>
      </w:pPr>
      <w:r>
        <w:t xml:space="preserve">Los equipos operativos ejecutan los procedimientos de contingencia correspondientes a cada proceso crítico. El Coordinador TIC, en paralelo, activa el DRP E-403.</w:t>
      </w:r>
    </w:p>
    <w:bookmarkEnd w:id="33"/>
    <w:bookmarkEnd w:id="34"/>
    <w:bookmarkStart w:id="35" w:name="Xc68fb7fefdda454a434bfb1670d508a83d83f35"/>
    <w:p>
      <w:pPr>
        <w:pStyle w:val="Heading2"/>
      </w:pPr>
      <w:r>
        <w:t xml:space="preserve">6. PROCEDIMIENTOS OPERATIVOS POR PROCESO</w:t>
      </w:r>
    </w:p>
    <w:p>
      <w:pPr>
        <w:pStyle w:val="FirstParagraph"/>
      </w:pPr>
      <w:r>
        <w:t xml:space="preserve">Para cada proceso crítico identificado, el siguiente apartado documenta los pasos en modo contingencia:</w:t>
      </w:r>
    </w:p>
    <w:p>
      <w:pPr>
        <w:pStyle w:val="BodyText"/>
      </w:pPr>
      <w:r>
        <w:t xml:space="preserve">{% for serv in servicios_criticos %}### 6.{{ loop.index }} · {{ serv.nombre }}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RTO objetivo</w:t>
      </w:r>
      <w:r>
        <w:t xml:space="preserve">: {{ serv.rto }}.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Responsable contingencia</w:t>
      </w:r>
      <w:r>
        <w:t xml:space="preserve">: {{ serv.responsable }}.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Procedimiento</w:t>
      </w:r>
      <w:r>
        <w:t xml:space="preserve">: {{ serv.procedimiento }}.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Recursos requeridos</w:t>
      </w:r>
      <w:r>
        <w:t xml:space="preserve">: {{ serv.recursos }}.</w:t>
      </w:r>
      <w:r>
        <w:t xml:space="preserve"> </w:t>
      </w:r>
      <w:r>
        <w:t xml:space="preserve">{% endfor %}</w:t>
      </w:r>
    </w:p>
    <w:p>
      <w:pPr>
        <w:pStyle w:val="FirstParagraph"/>
      </w:pPr>
      <w:r>
        <w:t xml:space="preserve">El detalle técnico de la recuperación TIC se desarrolla en el E-403 DRP.</w:t>
      </w:r>
    </w:p>
    <w:bookmarkEnd w:id="35"/>
    <w:bookmarkStart w:id="36" w:name="X47672cb8e3399b49aba48c389589a5c493493b5"/>
    <w:p>
      <w:pPr>
        <w:pStyle w:val="Heading2"/>
      </w:pPr>
      <w:r>
        <w:t xml:space="preserve">7. COMUNICACIÓN DURANTE LA CRISIS</w:t>
      </w:r>
    </w:p>
    <w:p>
      <w:pPr>
        <w:pStyle w:val="FirstParagraph"/>
      </w:pPr>
      <w:r>
        <w:t xml:space="preserve">La comunicación interna y externa durante la activación del BCP se rige por el Plan de Comunicaciones en Crisis (E-404), que incluye:</w:t>
      </w:r>
    </w:p>
    <w:p>
      <w:pPr>
        <w:numPr>
          <w:ilvl w:val="0"/>
          <w:numId w:val="1007"/>
        </w:numPr>
        <w:pStyle w:val="Compact"/>
      </w:pPr>
      <w:r>
        <w:t xml:space="preserve">Stakeholders matrix con prioridades y canales.</w:t>
      </w:r>
    </w:p>
    <w:p>
      <w:pPr>
        <w:numPr>
          <w:ilvl w:val="0"/>
          <w:numId w:val="1007"/>
        </w:numPr>
        <w:pStyle w:val="Compact"/>
      </w:pPr>
      <w:r>
        <w:t xml:space="preserve">Plantillas de comunicación por audiencia.</w:t>
      </w:r>
    </w:p>
    <w:p>
      <w:pPr>
        <w:numPr>
          <w:ilvl w:val="0"/>
          <w:numId w:val="1007"/>
        </w:numPr>
        <w:pStyle w:val="Compact"/>
      </w:pPr>
      <w:r>
        <w:t xml:space="preserve">Designación de portavoces autorizados.</w:t>
      </w:r>
    </w:p>
    <w:p>
      <w:pPr>
        <w:numPr>
          <w:ilvl w:val="0"/>
          <w:numId w:val="1007"/>
        </w:numPr>
        <w:pStyle w:val="Compact"/>
      </w:pPr>
      <w:r>
        <w:t xml:space="preserve">Notificación obligatoria a autoridades cuando proceda (AEPD 72h, CCN-CERT/INCIBE-CERT bajo NIS2, Banco de España/CNMV bajo DORA si aplica).</w:t>
      </w:r>
    </w:p>
    <w:bookmarkEnd w:id="36"/>
    <w:bookmarkStart w:id="40" w:name="X4e678de0aff329786010774652ab22307facf33"/>
    <w:p>
      <w:pPr>
        <w:pStyle w:val="Heading2"/>
      </w:pPr>
      <w:r>
        <w:t xml:space="preserve">8. RECUPERACIÓN POR FASES</w:t>
      </w:r>
    </w:p>
    <w:p>
      <w:pPr>
        <w:pStyle w:val="FirstParagraph"/>
      </w:pPr>
      <w:r>
        <w:t xml:space="preserve">La vuelta a la normalidad se ejecuta en tres fases:</w:t>
      </w:r>
    </w:p>
    <w:bookmarkStart w:id="37" w:name="fase-a--estabilización-primeras-24-72h"/>
    <w:p>
      <w:pPr>
        <w:pStyle w:val="Heading3"/>
      </w:pPr>
      <w:r>
        <w:t xml:space="preserve">Fase A · Estabilización (primeras 24-72h)</w:t>
      </w:r>
    </w:p>
    <w:p>
      <w:pPr>
        <w:numPr>
          <w:ilvl w:val="0"/>
          <w:numId w:val="1008"/>
        </w:numPr>
        <w:pStyle w:val="Compact"/>
      </w:pPr>
      <w:r>
        <w:t xml:space="preserve">Confirmación de la seguridad de las personas.</w:t>
      </w:r>
    </w:p>
    <w:p>
      <w:pPr>
        <w:numPr>
          <w:ilvl w:val="0"/>
          <w:numId w:val="1008"/>
        </w:numPr>
        <w:pStyle w:val="Compact"/>
      </w:pPr>
      <w:r>
        <w:t xml:space="preserve">Operación de procesos críticos en modo contingencia.</w:t>
      </w:r>
    </w:p>
    <w:p>
      <w:pPr>
        <w:numPr>
          <w:ilvl w:val="0"/>
          <w:numId w:val="1008"/>
        </w:numPr>
        <w:pStyle w:val="Compact"/>
      </w:pPr>
      <w:r>
        <w:t xml:space="preserve">Comunicación a stakeholders prioritarios.</w:t>
      </w:r>
    </w:p>
    <w:p>
      <w:pPr>
        <w:numPr>
          <w:ilvl w:val="0"/>
          <w:numId w:val="1008"/>
        </w:numPr>
        <w:pStyle w:val="Compact"/>
      </w:pPr>
      <w:r>
        <w:t xml:space="preserve">Documentación inicial del incidente para informe posterior.</w:t>
      </w:r>
    </w:p>
    <w:bookmarkEnd w:id="37"/>
    <w:bookmarkStart w:id="38" w:name="fase-b--normalización-días-3-15"/>
    <w:p>
      <w:pPr>
        <w:pStyle w:val="Heading3"/>
      </w:pPr>
      <w:r>
        <w:t xml:space="preserve">Fase B · Normalización (días 3-15)</w:t>
      </w:r>
    </w:p>
    <w:p>
      <w:pPr>
        <w:numPr>
          <w:ilvl w:val="0"/>
          <w:numId w:val="1009"/>
        </w:numPr>
        <w:pStyle w:val="Compact"/>
      </w:pPr>
      <w:r>
        <w:t xml:space="preserve">Restauración progresiva de procesos no críticos.</w:t>
      </w:r>
    </w:p>
    <w:p>
      <w:pPr>
        <w:numPr>
          <w:ilvl w:val="0"/>
          <w:numId w:val="1009"/>
        </w:numPr>
        <w:pStyle w:val="Compact"/>
      </w:pPr>
      <w:r>
        <w:t xml:space="preserve">Sustitución de soluciones temporales por la operación habitual.</w:t>
      </w:r>
    </w:p>
    <w:p>
      <w:pPr>
        <w:numPr>
          <w:ilvl w:val="0"/>
          <w:numId w:val="1009"/>
        </w:numPr>
        <w:pStyle w:val="Compact"/>
      </w:pPr>
      <w:r>
        <w:t xml:space="preserve">Análisis de impacto económico y reputacional.</w:t>
      </w:r>
    </w:p>
    <w:bookmarkEnd w:id="38"/>
    <w:bookmarkStart w:id="39" w:name="X55378ff5b0882eec1e786a3bbacd599124402f3"/>
    <w:p>
      <w:pPr>
        <w:pStyle w:val="Heading3"/>
      </w:pPr>
      <w:r>
        <w:t xml:space="preserve">Fase C · Vuelta a la normalidad (días 15-30)</w:t>
      </w:r>
    </w:p>
    <w:p>
      <w:pPr>
        <w:numPr>
          <w:ilvl w:val="0"/>
          <w:numId w:val="1010"/>
        </w:numPr>
        <w:pStyle w:val="Compact"/>
      </w:pPr>
      <w:r>
        <w:t xml:space="preserve">Operación al 100% en condiciones normales.</w:t>
      </w:r>
    </w:p>
    <w:p>
      <w:pPr>
        <w:numPr>
          <w:ilvl w:val="0"/>
          <w:numId w:val="1010"/>
        </w:numPr>
        <w:pStyle w:val="Compact"/>
      </w:pPr>
      <w:r>
        <w:t xml:space="preserve">Conciliación de pérdidas y reclamaciones a seguros y terceros si procede.</w:t>
      </w:r>
    </w:p>
    <w:p>
      <w:pPr>
        <w:numPr>
          <w:ilvl w:val="0"/>
          <w:numId w:val="1010"/>
        </w:numPr>
        <w:pStyle w:val="Compact"/>
      </w:pPr>
      <w:r>
        <w:t xml:space="preserve">Identificación de lecciones aprendidas.</w:t>
      </w:r>
    </w:p>
    <w:bookmarkEnd w:id="39"/>
    <w:bookmarkEnd w:id="40"/>
    <w:bookmarkStart w:id="41" w:name="X0b903cc1de5401f022d24e4222e0dd02cc0dd84"/>
    <w:p>
      <w:pPr>
        <w:pStyle w:val="Heading2"/>
      </w:pPr>
      <w:r>
        <w:t xml:space="preserve">9. DESACTIVACIÓN DEL BCP Y LECCIONES APRENDIDAS</w:t>
      </w:r>
    </w:p>
    <w:p>
      <w:pPr>
        <w:pStyle w:val="FirstParagraph"/>
      </w:pPr>
      <w:r>
        <w:t xml:space="preserve">El Comité de Continuidad declara formalmente el fin de la activación una vez restituido el servicio normal.</w:t>
      </w:r>
    </w:p>
    <w:p>
      <w:pPr>
        <w:pStyle w:val="BodyText"/>
      </w:pPr>
      <w:r>
        <w:t xml:space="preserve">Dentro de los</w:t>
      </w:r>
      <w:r>
        <w:t xml:space="preserve"> </w:t>
      </w:r>
      <w:r>
        <w:rPr>
          <w:bCs/>
          <w:b/>
        </w:rPr>
        <w:t xml:space="preserve">30 días naturales</w:t>
      </w:r>
      <w:r>
        <w:t xml:space="preserve"> </w:t>
      </w:r>
      <w:r>
        <w:t xml:space="preserve">siguientes a la desactivación se emite un Informe de Lecciones Aprendidas que incluye:</w:t>
      </w:r>
    </w:p>
    <w:p>
      <w:pPr>
        <w:numPr>
          <w:ilvl w:val="0"/>
          <w:numId w:val="1011"/>
        </w:numPr>
        <w:pStyle w:val="Compact"/>
      </w:pPr>
      <w:r>
        <w:t xml:space="preserve">Cronología detallada del incidente.</w:t>
      </w:r>
    </w:p>
    <w:p>
      <w:pPr>
        <w:numPr>
          <w:ilvl w:val="0"/>
          <w:numId w:val="1011"/>
        </w:numPr>
        <w:pStyle w:val="Compact"/>
      </w:pPr>
      <w:r>
        <w:t xml:space="preserve">Métricas reales de RTO y RPO alcanzados vs objetivos.</w:t>
      </w:r>
    </w:p>
    <w:p>
      <w:pPr>
        <w:numPr>
          <w:ilvl w:val="0"/>
          <w:numId w:val="1011"/>
        </w:numPr>
        <w:pStyle w:val="Compact"/>
      </w:pPr>
      <w:r>
        <w:t xml:space="preserve">Eficacia de las estrategias activadas.</w:t>
      </w:r>
    </w:p>
    <w:p>
      <w:pPr>
        <w:numPr>
          <w:ilvl w:val="0"/>
          <w:numId w:val="1011"/>
        </w:numPr>
        <w:pStyle w:val="Compact"/>
      </w:pPr>
      <w:r>
        <w:t xml:space="preserve">Gaps detectados en personas, procesos o tecnología.</w:t>
      </w:r>
    </w:p>
    <w:p>
      <w:pPr>
        <w:numPr>
          <w:ilvl w:val="0"/>
          <w:numId w:val="1011"/>
        </w:numPr>
        <w:pStyle w:val="Compact"/>
      </w:pPr>
      <w:r>
        <w:t xml:space="preserve">Plan de acción correctivo.</w:t>
      </w:r>
    </w:p>
    <w:p>
      <w:pPr>
        <w:pStyle w:val="FirstParagraph"/>
      </w:pPr>
      <w:r>
        <w:t xml:space="preserve">Las lecciones aprendidas se incorporan a la revisión anual del BIA, BCP, DRP y estrategias.</w:t>
      </w:r>
    </w:p>
    <w:bookmarkEnd w:id="41"/>
    <w:bookmarkStart w:id="42" w:name="Xba49659d3f8513ae01f43cd77ae3057e03b5f4e"/>
    <w:p>
      <w:pPr>
        <w:pStyle w:val="Heading2"/>
      </w:pPr>
      <w:r>
        <w:t xml:space="preserve">10. MANTENIMIENTO DEL PLAN</w:t>
      </w:r>
    </w:p>
    <w:p>
      <w:pPr>
        <w:pStyle w:val="FirstParagraph"/>
      </w:pPr>
      <w:r>
        <w:t xml:space="preserve">El presente BCP se revisa con periodicidad</w:t>
      </w:r>
      <w:r>
        <w:t xml:space="preserve"> </w:t>
      </w:r>
      <w:r>
        <w:rPr>
          <w:bCs/>
          <w:b/>
        </w:rPr>
        <w:t xml:space="preserve">anual</w:t>
      </w:r>
      <w:r>
        <w:t xml:space="preserve"> </w:t>
      </w:r>
      <w:r>
        <w:t xml:space="preserve">y se actualiza siempre que:</w:t>
      </w:r>
    </w:p>
    <w:p>
      <w:pPr>
        <w:numPr>
          <w:ilvl w:val="0"/>
          <w:numId w:val="1012"/>
        </w:numPr>
        <w:pStyle w:val="Compact"/>
      </w:pPr>
      <w:r>
        <w:t xml:space="preserve">Se incorpore o retire un proceso del catálogo de críticos.</w:t>
      </w:r>
    </w:p>
    <w:p>
      <w:pPr>
        <w:numPr>
          <w:ilvl w:val="0"/>
          <w:numId w:val="1012"/>
        </w:numPr>
        <w:pStyle w:val="Compact"/>
      </w:pPr>
      <w:r>
        <w:t xml:space="preserve">Se modifique la estructura organizativa relevante.</w:t>
      </w:r>
    </w:p>
    <w:p>
      <w:pPr>
        <w:numPr>
          <w:ilvl w:val="0"/>
          <w:numId w:val="1012"/>
        </w:numPr>
        <w:pStyle w:val="Compact"/>
      </w:pPr>
      <w:r>
        <w:t xml:space="preserve">Se incorpore o retire un proveedor crítico.</w:t>
      </w:r>
    </w:p>
    <w:p>
      <w:pPr>
        <w:numPr>
          <w:ilvl w:val="0"/>
          <w:numId w:val="1012"/>
        </w:numPr>
        <w:pStyle w:val="Compact"/>
      </w:pPr>
      <w:r>
        <w:t xml:space="preserve">Se obtengan lecciones aprendidas tras un ejercicio (E-406) o incidente real.</w:t>
      </w:r>
    </w:p>
    <w:bookmarkEnd w:id="42"/>
    <w:bookmarkStart w:id="43" w:name="X3f03aff129a0edd6730409b3b7503e353d06a10"/>
    <w:p>
      <w:pPr>
        <w:pStyle w:val="Heading2"/>
      </w:pPr>
      <w:r>
        <w:t xml:space="preserve">11. ANEXOS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A</w:t>
      </w:r>
      <w:r>
        <w:t xml:space="preserve">: Lista de contactos críticos internos (24/7).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B</w:t>
      </w:r>
      <w:r>
        <w:t xml:space="preserve">: Lista de proveedores críticos y contactos de emergencia.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C</w:t>
      </w:r>
      <w:r>
        <w:t xml:space="preserve">: Ubicaciones alternas y procedimientos de activación.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D</w:t>
      </w:r>
      <w:r>
        <w:t xml:space="preserve">: Mapa de dependencias entre procesos críticos.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E</w:t>
      </w:r>
      <w:r>
        <w:t xml:space="preserve">: Plantillas de actas del Comité de Continuidad.</w:t>
      </w:r>
    </w:p>
    <w:bookmarkEnd w:id="43"/>
    <w:bookmarkStart w:id="44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44"/>
    <w:bookmarkEnd w:id="4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E-402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E-402 · PLAN DE CONTINUIDAD DEL NEGOCIO (BCP)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2026-05-17T19:05:49Z</dcterms:created>
  <dcterms:modified xsi:type="dcterms:W3CDTF">2026-05-17T19:05:49Z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