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7c2db3e7fc41221d38e43c2f9d5b7e69afae8ec"/>
    <w:p>
      <w:pPr>
        <w:pStyle w:val="Heading1"/>
      </w:pPr>
      <w:r>
        <w:t xml:space="preserve">CATÁLOGO DE MATERIALES DE FORMACIÓN DE {{ cliente.razon_social|upper }}</w:t>
      </w:r>
    </w:p>
    <w:p>
      <w:pPr>
        <w:pStyle w:val="FirstParagraph"/>
      </w:pPr>
      <w:r>
        <w:t xml:space="preserve">Documento {{ proyecto.codigo_documento_base }}-501 — Versión {{ proyecto.version_actual }}</w:t>
      </w:r>
    </w:p>
    <w:bookmarkStart w:id="20" w:name="control-de-cambios"/>
    <w:p>
      <w:pPr>
        <w:pStyle w:val="Heading2"/>
      </w:pPr>
      <w:r>
        <w:t xml:space="preserve">CONTROL DE CAMBIOS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{{ proyecto.version_actual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proyecto.fecha_aprobacion_inicial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responsables.consultor.nombre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inicial</w:t>
            </w:r>
          </w:p>
        </w:tc>
      </w:tr>
    </w:tbl>
    <w:bookmarkEnd w:id="20"/>
    <w:bookmarkStart w:id="21" w:name="registro-de-aprobación"/>
    <w:p>
      <w:pPr>
        <w:pStyle w:val="Heading2"/>
      </w:pPr>
      <w:r>
        <w:t xml:space="preserve">REGISTRO DE APROBACIÓN</w:t>
      </w:r>
    </w:p>
    <w:p>
      <w:pPr>
        <w:pStyle w:val="FirstParagraph"/>
      </w:pPr>
      <w:r>
        <w:t xml:space="preserve">El presente Catálogo de Materiales de Formación ha sido elaborado por {{ responsables.consultor.nombre }}, en su condición de {{ responsables.consultor.cargo }}, revisado por {{ responsables.responsable_seguridad.nombre }} ({{ responsables.responsable_seguridad.cargo }}) y aprobado por {{ cliente.organo_aprobador_politicas }} de {{ cliente.razon_social }}.</w:t>
      </w:r>
    </w:p>
    <w:bookmarkEnd w:id="21"/>
    <w:bookmarkStart w:id="22" w:name="X9895ad7d6233bb46f1f1ab0c9c1393c5bec2388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El presente Catálogo enumera los módulos formativos y materiales de concienciación disponibles para la ejecución del Plan Anual de Formación (E-500), organizados por grupo de audiencia (G1-G6) y materializando las medidas</w:t>
      </w:r>
      <w:r>
        <w:t xml:space="preserve"> </w:t>
      </w:r>
      <w:r>
        <w:rPr>
          <w:bCs/>
          <w:b/>
        </w:rPr>
        <w:t xml:space="preserve">mp.per.3 Concienciación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mp.per.4 Formación</w:t>
      </w:r>
      <w:r>
        <w:t xml:space="preserve"> </w:t>
      </w:r>
      <w:r>
        <w:t xml:space="preserve">del Anexo II del RD 311/2022.</w:t>
      </w:r>
    </w:p>
    <w:p>
      <w:pPr>
        <w:pStyle w:val="BodyText"/>
      </w:pPr>
      <w:r>
        <w:t xml:space="preserve">Los módulos se imparten a través de la plataforma LMS corporativa o, cuando proceda, mediante sesiones presenciales facilitadas por personal interno o proveedores externos cualificados.</w:t>
      </w:r>
    </w:p>
    <w:bookmarkEnd w:id="22"/>
    <w:bookmarkStart w:id="29" w:name="X54139fc56abae288dd312fd7488d2a1076130ae"/>
    <w:p>
      <w:pPr>
        <w:pStyle w:val="Heading2"/>
      </w:pPr>
      <w:r>
        <w:t xml:space="preserve">2. CATÁLOGO DE MÓDULOS</w:t>
      </w:r>
    </w:p>
    <w:bookmarkStart w:id="23" w:name="Xd0415704419c920a2c17f309275743577a8c937"/>
    <w:p>
      <w:pPr>
        <w:pStyle w:val="Heading3"/>
      </w:pPr>
      <w:r>
        <w:t xml:space="preserve">2.1 Módulos del grupo G1 · Concienciación general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Duración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Frecuencia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M-G1-001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Sesión de acogida en seguridad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Sesión + quiz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Una vez por incorporación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M-G1-002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Concienciación frente al phishing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 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Píldora + quiz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Trimestral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M-G1-003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Higiene de credenciales y gestor de contraseñas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Píldora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Trimestral (rotativo)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M-G1-004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desk y seguridad física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Píldora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Trimestral (rotativo)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M-G1-005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aceptable de recursos corporativos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Píldora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Trimestral (rotativo)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M-G1-006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 de incidentes y comunicación con seguridad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 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Píldora + caso práctico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Anual</w:t>
            </w:r>
          </w:p>
        </w:tc>
      </w:tr>
    </w:tbl>
    <w:bookmarkEnd w:id="23"/>
    <w:bookmarkStart w:id="24" w:name="Xb38f5b67c819043449b6c66b61bca81d6fc0ceb"/>
    <w:p>
      <w:pPr>
        <w:pStyle w:val="Heading3"/>
      </w:pPr>
      <w:r>
        <w:t xml:space="preserve">2.2 Módulos del grupo G2 · RGPD aplicado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Duración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Frecuencia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M-G2-001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Fundamentos del RGPD para personal operativo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Sesión + quiz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M-G2-002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de Actividades del Tratamiento (ROPA)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Sesión práctica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M-G2-003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a derechos de las personas interesadas (ARSULIPO)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Sesión + caso práctico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M-G2-004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brechas de datos personales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Sesión + simulacro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Anual</w:t>
            </w:r>
          </w:p>
        </w:tc>
      </w:tr>
    </w:tbl>
    <w:bookmarkEnd w:id="24"/>
    <w:bookmarkStart w:id="25" w:name="X759338c2a148a061c696e920997961e628eb1f7"/>
    <w:p>
      <w:pPr>
        <w:pStyle w:val="Heading3"/>
      </w:pPr>
      <w:r>
        <w:t xml:space="preserve">2.3 Módulos del grupo G3 · Personal técnico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Duración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Frecuencia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M-G3-001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 segura de sistemas (CCN-STIC-807)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 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Curso técnico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M-G3-002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vulnerabilidades y aplicación de parches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 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Curso técnico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M-G3-003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Operación segura diaria · logging y monitorización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 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Curso técnico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M-G3-004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 técnica a incidentes · primeros 60 minutos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 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Sesión + tabletop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Anual</w:t>
            </w:r>
          </w:p>
        </w:tc>
      </w:tr>
    </w:tbl>
    <w:bookmarkEnd w:id="25"/>
    <w:bookmarkStart w:id="26" w:name="Xdcffa48702210631b4a8250c8829d5e5f72b442"/>
    <w:p>
      <w:pPr>
        <w:pStyle w:val="Heading3"/>
      </w:pPr>
      <w:r>
        <w:t xml:space="preserve">2.4 Módulos del grupo G4 · Accesos privilegiados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Duración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Frecuencia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M-G4-001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accesos privilegiados (PAM)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 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Curso técnico avanzado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M-G4-002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Hardening avanzado de sistemas · referencia CCN-STIC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 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Curso técnico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M-G4-003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DevSecOps · integración seguridad en CI/CD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 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Curso técnico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M-G4-004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Principios de análisis forense post-incidente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 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Curso técnico + práctica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Anual</w:t>
            </w:r>
          </w:p>
        </w:tc>
      </w:tr>
    </w:tbl>
    <w:bookmarkEnd w:id="26"/>
    <w:bookmarkStart w:id="27" w:name="Xf90b19ebc7b1d213aecd696f765d395bf0d5ea9"/>
    <w:p>
      <w:pPr>
        <w:pStyle w:val="Heading3"/>
      </w:pPr>
      <w:r>
        <w:t xml:space="preserve">2.5 Módulos del grupo G5 · Ejecutivos C-level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Duración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Frecuencia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M-G5-001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Briefing ejecutivo · panorama de amenazas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Briefing presencial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Semestral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M-G5-002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Responsabilidades legales en ciberseguridad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Sesión + Q&amp;A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M-G5-003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Gobernanza y métricas de seguridad para dirección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Briefing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Semestral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M-G5-004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crisis · papel de la dirección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Tabletop ejecutivo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Anual</w:t>
            </w:r>
          </w:p>
        </w:tc>
      </w:tr>
    </w:tbl>
    <w:bookmarkEnd w:id="27"/>
    <w:bookmarkStart w:id="28" w:name="X0a777d1f736ddb664883e06f554a8924624ee13"/>
    <w:p>
      <w:pPr>
        <w:pStyle w:val="Heading3"/>
      </w:pPr>
      <w:r>
        <w:t xml:space="preserve">2.6 Módulos del grupo G6 · Roles ENS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Duración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Frecuencia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M-G6-001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Esquema Nacional de Seguridad · novedades RD 311/2022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 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Curso específico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M-G6-002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Responsabilidades del Responsable de Seguridad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 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Curso + casos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M-G6-003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Auditoría del ENS · preparación y conducción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 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Curso técnico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M-G6-004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formal de incidentes ENS · notificaciones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 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Curso + simulacro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Anual</w:t>
            </w:r>
          </w:p>
        </w:tc>
      </w:tr>
    </w:tbl>
    <w:bookmarkEnd w:id="28"/>
    <w:bookmarkEnd w:id="29"/>
    <w:bookmarkStart w:id="30" w:name="Xf69b99baedb60063bce0fc0ed27bed8a1e634db"/>
    <w:p>
      <w:pPr>
        <w:pStyle w:val="Heading2"/>
      </w:pPr>
      <w:r>
        <w:t xml:space="preserve">3. MATERIALES COMPLEMENTARIOS</w:t>
      </w:r>
    </w:p>
    <w:p>
      <w:pPr>
        <w:pStyle w:val="FirstParagraph"/>
      </w:pPr>
      <w:r>
        <w:t xml:space="preserve">Además de los módulos formales, el catálogo incluye: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Pósteres</w:t>
      </w:r>
      <w:r>
        <w:t xml:space="preserve"> </w:t>
      </w:r>
      <w:r>
        <w:t xml:space="preserve">sobre buenas prácticas para zonas comunes (clean desk, phishing visual, contraseñas).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Boletines mensuales</w:t>
      </w:r>
      <w:r>
        <w:t xml:space="preserve"> </w:t>
      </w:r>
      <w:r>
        <w:t xml:space="preserve">internos con resumen de amenazas relevantes.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Vídeos cortos</w:t>
      </w:r>
      <w:r>
        <w:t xml:space="preserve"> </w:t>
      </w:r>
      <w:r>
        <w:t xml:space="preserve">de 2-3 minutos para campañas puntuales.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Caso de estudio anual</w:t>
      </w:r>
      <w:r>
        <w:t xml:space="preserve"> </w:t>
      </w:r>
      <w:r>
        <w:t xml:space="preserve">sobre un incidente real anonimizado del sector.</w:t>
      </w:r>
    </w:p>
    <w:bookmarkEnd w:id="30"/>
    <w:bookmarkStart w:id="31" w:name="X269874924f13b08b2351cb42667c2484d3545ae"/>
    <w:p>
      <w:pPr>
        <w:pStyle w:val="Heading2"/>
      </w:pPr>
      <w:r>
        <w:t xml:space="preserve">4. CRITERIOS DE CALIDAD</w:t>
      </w:r>
    </w:p>
    <w:p>
      <w:pPr>
        <w:pStyle w:val="FirstParagraph"/>
      </w:pPr>
      <w:r>
        <w:t xml:space="preserve">Los módulos del catálogo cumplen los siguientes criterios mínimos: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Actualidad</w:t>
      </w:r>
      <w:r>
        <w:t xml:space="preserve">: revisados anualmente y siempre que se publique normativa relevante.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Verificación de comprensión</w:t>
      </w:r>
      <w:r>
        <w:t xml:space="preserve">: quiz al final con umbral de aprobación ≥ 70% conforme al Plan E-500.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Adaptación de contexto</w:t>
      </w:r>
      <w:r>
        <w:t xml:space="preserve">: ejemplos del sector de actividad de {{ cliente.razon_social }}.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Accesibilidad</w:t>
      </w:r>
      <w:r>
        <w:t xml:space="preserve">: contenidos compatibles con dispositivos móviles y normas básicas de accesibilidad (WCAG 2.1 AA en lo aplicable).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Multilingüismo</w:t>
      </w:r>
      <w:r>
        <w:t xml:space="preserve">: cuando proceda según la plantilla de la Entidad.</w:t>
      </w:r>
    </w:p>
    <w:bookmarkEnd w:id="31"/>
    <w:bookmarkStart w:id="32" w:name="X2ddff73027eb67fa0af12b3c5528e4ea02ba763"/>
    <w:p>
      <w:pPr>
        <w:pStyle w:val="Heading2"/>
      </w:pPr>
      <w:r>
        <w:t xml:space="preserve">5. ACTUALIZACIÓN DEL CATÁLOGO</w:t>
      </w:r>
    </w:p>
    <w:p>
      <w:pPr>
        <w:pStyle w:val="FirstParagraph"/>
      </w:pPr>
      <w:r>
        <w:t xml:space="preserve">El catálogo se revisa con periodicidad</w:t>
      </w:r>
      <w:r>
        <w:t xml:space="preserve"> </w:t>
      </w:r>
      <w:r>
        <w:rPr>
          <w:bCs/>
          <w:b/>
        </w:rPr>
        <w:t xml:space="preserve">anual</w:t>
      </w:r>
      <w:r>
        <w:t xml:space="preserve"> </w:t>
      </w:r>
      <w:r>
        <w:t xml:space="preserve">y se actualiza siempre que:</w:t>
      </w:r>
    </w:p>
    <w:p>
      <w:pPr>
        <w:numPr>
          <w:ilvl w:val="0"/>
          <w:numId w:val="1003"/>
        </w:numPr>
        <w:pStyle w:val="Compact"/>
      </w:pPr>
      <w:r>
        <w:t xml:space="preserve">Se introduzcan nuevos módulos relevantes para la Entidad.</w:t>
      </w:r>
    </w:p>
    <w:p>
      <w:pPr>
        <w:numPr>
          <w:ilvl w:val="0"/>
          <w:numId w:val="1003"/>
        </w:numPr>
        <w:pStyle w:val="Compact"/>
      </w:pPr>
      <w:r>
        <w:t xml:space="preserve">Se retiren módulos obsoletos.</w:t>
      </w:r>
    </w:p>
    <w:p>
      <w:pPr>
        <w:numPr>
          <w:ilvl w:val="0"/>
          <w:numId w:val="1003"/>
        </w:numPr>
        <w:pStyle w:val="Compact"/>
      </w:pPr>
      <w:r>
        <w:t xml:space="preserve">Cambie la normativa aplicable (ENS, RGPD, NIS2, DORA, AI Act).</w:t>
      </w:r>
    </w:p>
    <w:p>
      <w:pPr>
        <w:numPr>
          <w:ilvl w:val="0"/>
          <w:numId w:val="1003"/>
        </w:numPr>
        <w:pStyle w:val="Compact"/>
      </w:pPr>
      <w:r>
        <w:t xml:space="preserve">Los KPIs evidencien la necesidad de un nuevo enfoque formativo.</w:t>
      </w:r>
    </w:p>
    <w:bookmarkEnd w:id="32"/>
    <w:bookmarkStart w:id="33" w:name="tabla-de-firmas"/>
    <w:p>
      <w:pPr>
        <w:pStyle w:val="Heading2"/>
      </w:pPr>
      <w:r>
        <w:t xml:space="preserve">TABLA DE FIRMAS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Elaborado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firmas.elaborado.cargo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firmas.elaborado.fecha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firmas.elaborado.firma_marca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firmas.revisado.cargo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firmas.revisado.fecha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firmas.revisado.firma_marca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Aprobado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firmas.aprobado.cargo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firmas.aprobado.fecha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firmas.aprobado.firma_marca }}</w:t>
            </w:r>
          </w:p>
        </w:tc>
      </w:tr>
    </w:tbl>
    <w:bookmarkEnd w:id="33"/>
    <w:bookmarkEnd w:id="34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E-501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E-501 · CATÁLOGO DE MATERIALES DE FORMACIÓN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2026-05-17T19:22:59Z</dcterms:created>
  <dcterms:modified xsi:type="dcterms:W3CDTF">2026-05-17T19:22:59Z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