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8aa30426c62dfa8643e8da5f74cc68bd40b4ae"/>
    <w:p>
      <w:pPr>
        <w:pStyle w:val="Heading1"/>
      </w:pPr>
      <w:r>
        <w:t xml:space="preserve">INFORME DE SIMULACROS DE PHISHING DE {{ cliente.razon_social|upper }}</w:t>
      </w:r>
    </w:p>
    <w:p>
      <w:pPr>
        <w:pStyle w:val="FirstParagraph"/>
      </w:pPr>
      <w:r>
        <w:t xml:space="preserve">Documento {{ proyecto.codigo_documento_base }}-503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Informe de Simulacros de Phishing ha sido elaborado por {{ responsables.consultor.nombre }}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p>
      <w:pPr>
        <w:pStyle w:val="BodyText"/>
      </w:pPr>
      <w:r>
        <w:t xml:space="preserve">Este Informe constituye evidencia auditable del programa de concienciación frente a phishing en cumplimiento de las medidas</w:t>
      </w:r>
      <w:r>
        <w:t xml:space="preserve"> </w:t>
      </w:r>
      <w:r>
        <w:rPr>
          <w:bCs/>
          <w:b/>
        </w:rPr>
        <w:t xml:space="preserve">mp.per.3 Concienciación</w:t>
      </w:r>
      <w:r>
        <w:t xml:space="preserve"> </w:t>
      </w:r>
      <w:r>
        <w:t xml:space="preserve">del Anexo II del RD 311/2022 y de las obligaciones derivadas de NIS2 Art. 21.</w:t>
      </w:r>
    </w:p>
    <w:bookmarkEnd w:id="21"/>
    <w:bookmarkStart w:id="22" w:name="X70274f4b36ed1bf2f29764ab1771e1fa92640ee"/>
    <w:p>
      <w:pPr>
        <w:pStyle w:val="Heading2"/>
      </w:pPr>
      <w:r>
        <w:t xml:space="preserve">1. FICHA DE LA CAMPAÑA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Identificador de 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campania.id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campania.nombre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Trimestre ·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campania.trimestre }} · {{ campania.anyo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campania.plataforma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envío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campania.fecha_envio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de la ventana de monitorización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campania.duracion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campania.tipo_escenario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Dificultad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campania.dificultad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Plantillas empleadas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campania.plantillas }}</w:t>
            </w:r>
          </w:p>
        </w:tc>
      </w:tr>
    </w:tbl>
    <w:bookmarkEnd w:id="22"/>
    <w:bookmarkStart w:id="23" w:name="Xcd89cc39abcee090e93192625d6422134cfdcb3"/>
    <w:p>
      <w:pPr>
        <w:pStyle w:val="Heading2"/>
      </w:pPr>
      <w:r>
        <w:t xml:space="preserve">2. OBJETIVOS DE LA CAMPAÑA</w:t>
      </w:r>
    </w:p>
    <w:p>
      <w:pPr>
        <w:pStyle w:val="FirstParagraph"/>
      </w:pPr>
      <w:r>
        <w:t xml:space="preserve">{% for obj in campania.objetivos %}- {{ obj }}</w:t>
      </w:r>
      <w:r>
        <w:t xml:space="preserve"> </w:t>
      </w:r>
      <w:r>
        <w:t xml:space="preserve">{% endfor %}</w:t>
      </w:r>
    </w:p>
    <w:bookmarkEnd w:id="23"/>
    <w:bookmarkStart w:id="24" w:name="X0d1047479f72d9aabbbf200c8732698d19c8618"/>
    <w:p>
      <w:pPr>
        <w:pStyle w:val="Heading2"/>
      </w:pPr>
      <w:r>
        <w:t xml:space="preserve">3. ALCANCE Y POBLACIÓN OBJETIVO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Nº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de la selección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seg in segmentos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seg.nombre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seg.num_destinatarios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Total destinatarios</w:t>
      </w:r>
      <w:r>
        <w:t xml:space="preserve">: {{ campania.total_destinatarios }}.</w:t>
      </w:r>
    </w:p>
    <w:p>
      <w:pPr>
        <w:pStyle w:val="BodyText"/>
      </w:pPr>
      <w:r>
        <w:t xml:space="preserve">Las campañas se ejecutan con autorización previa del Comité de Seguridad y, cuando los destinatarios incluyen personal con representación sindical, se respeta el protocolo de notificación interna aplicable.</w:t>
      </w:r>
    </w:p>
    <w:bookmarkEnd w:id="24"/>
    <w:bookmarkStart w:id="25" w:name="X263c7b2bb2edbc3a2e8ba6c064756b124526579"/>
    <w:p>
      <w:pPr>
        <w:pStyle w:val="Heading2"/>
      </w:pPr>
      <w:r>
        <w:t xml:space="preserve">4. RESULTADOS GLOBALES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Objetivo Plan E-500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Emails entregados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resultados.entregados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Emails abiertos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resultados.abiertos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resultados.tasa_abierto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Clicks en el enlace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resultados.clicks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resultados.tasa_click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10% (ideal 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Credenciales introducidas (si aplica)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resultados.credenciales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resultados.tasa_credenciales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 a IT-Sec / Seguridad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resultados.reportes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resultados.tasa_reporte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Acción nula (ignorado)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resultados.ignorados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resultados.tasa_ignorados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25"/>
    <w:bookmarkStart w:id="26" w:name="Xa8c55604ff32e7d5781a69140dad634623db3bf"/>
    <w:p>
      <w:pPr>
        <w:pStyle w:val="Heading2"/>
      </w:pPr>
      <w:r>
        <w:t xml:space="preserve">5. ANÁLISIS POR SEGMENTO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click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reporte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Comparativa con campaña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seg in segmentos_analisis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seg.nombre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seg.tasa_click }}%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seg.tasa_reporte }}%</w:t>
            </w:r>
          </w:p>
        </w:tc>
      </w:tr>
    </w:tbl>
    <w:p>
      <w:pPr>
        <w:pStyle w:val="BodyText"/>
      </w:pPr>
      <w:r>
        <w:t xml:space="preserve">{% endfor %}</w:t>
      </w:r>
    </w:p>
    <w:bookmarkEnd w:id="26"/>
    <w:bookmarkStart w:id="27" w:name="Xdcfccc202112a76490c3b315c85ffb8c5653df3"/>
    <w:p>
      <w:pPr>
        <w:pStyle w:val="Heading2"/>
      </w:pPr>
      <w:r>
        <w:t xml:space="preserve">6. PATRONES IDENTIFICADOS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Empleados con click recurrente</w:t>
      </w:r>
      <w:r>
        <w:t xml:space="preserve"> </w:t>
      </w:r>
      <w:r>
        <w:t xml:space="preserve">(≥ 2 campañas consecutivas): {{ patrones.recurrentes }}.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Áreas con tasa de click superior a la media</w:t>
      </w:r>
      <w:r>
        <w:t xml:space="preserve">: {{ patrones.areas_alta }}.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Áreas con mejora respecto al periodo anterior</w:t>
      </w:r>
      <w:r>
        <w:t xml:space="preserve">: {{ patrones.areas_mejora }}.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Empleados destacados por reporte temprano</w:t>
      </w:r>
      <w:r>
        <w:t xml:space="preserve">: {{ patrones.early_reporters }}.</w:t>
      </w:r>
    </w:p>
    <w:bookmarkEnd w:id="27"/>
    <w:bookmarkStart w:id="30" w:name="X6079fe5fd33dae62523b4349f2393d1a76c3f5a"/>
    <w:p>
      <w:pPr>
        <w:pStyle w:val="Heading2"/>
      </w:pPr>
      <w:r>
        <w:t xml:space="preserve">7. ACCIONES INDIVIDUALES Y COLECTIVAS</w:t>
      </w:r>
    </w:p>
    <w:bookmarkStart w:id="28" w:name="Xa4d2b2901353df2585fc4fcd8962f76ba6ee751"/>
    <w:p>
      <w:pPr>
        <w:pStyle w:val="Heading3"/>
      </w:pPr>
      <w:r>
        <w:t xml:space="preserve">7.1 Acciones individuales</w:t>
      </w:r>
    </w:p>
    <w:p>
      <w:pPr>
        <w:pStyle w:val="FirstParagraph"/>
      </w:pPr>
      <w:r>
        <w:t xml:space="preserve">Los empleados que han hecho click reciben una intervención formativa individualizada conforme al protocolo del Plan E-500: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Primera ocurrencia</w:t>
      </w:r>
      <w:r>
        <w:t xml:space="preserve">: módulo de refuerzo M-G1-002 (Concienciación frente al phishing) más feedback escrito.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Segunda ocurrencia consecutiva</w:t>
      </w:r>
      <w:r>
        <w:t xml:space="preserve">: sesión individual con el Responsable de Seguridad y plan personalizado.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Reincidencia</w:t>
      </w:r>
      <w:r>
        <w:t xml:space="preserve"> </w:t>
      </w:r>
      <w:r>
        <w:t xml:space="preserve">(tres campañas consecutivas con click): elevación al Comité de Seguridad y análisis de necesidades específicas del rol.</w:t>
      </w:r>
    </w:p>
    <w:bookmarkEnd w:id="28"/>
    <w:bookmarkStart w:id="29" w:name="X04c1e19c4690e6e1aa43c1ae842123f136bb846"/>
    <w:p>
      <w:pPr>
        <w:pStyle w:val="Heading3"/>
      </w:pPr>
      <w:r>
        <w:t xml:space="preserve">7.2 Acciones colectivas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ac in acciones_colectivas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ac.id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ac.audiencia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ac.responsable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9"/>
    <w:bookmarkEnd w:id="30"/>
    <w:bookmarkStart w:id="31" w:name="X4c30745a38359781987dc9e5c238704cd37a881"/>
    <w:p>
      <w:pPr>
        <w:pStyle w:val="Heading2"/>
      </w:pPr>
      <w:r>
        <w:t xml:space="preserve">8. PÁGINA DE LANDING POST-CLICK</w:t>
      </w:r>
    </w:p>
    <w:p>
      <w:pPr>
        <w:pStyle w:val="FirstParagraph"/>
      </w:pPr>
      <w:r>
        <w:t xml:space="preserve">A los empleados que hacen click se les presenta una página de aprendizaje (no de sanción) con:</w:t>
      </w:r>
    </w:p>
    <w:p>
      <w:pPr>
        <w:numPr>
          <w:ilvl w:val="0"/>
          <w:numId w:val="1003"/>
        </w:numPr>
        <w:pStyle w:val="Compact"/>
      </w:pPr>
      <w:r>
        <w:t xml:space="preserve">Mensaje formativo que explica las señales de phishing que debían identificarse.</w:t>
      </w:r>
    </w:p>
    <w:p>
      <w:pPr>
        <w:numPr>
          <w:ilvl w:val="0"/>
          <w:numId w:val="1003"/>
        </w:numPr>
        <w:pStyle w:val="Compact"/>
      </w:pPr>
      <w:r>
        <w:t xml:space="preserve">Recordatorio del procedimiento correcto de reporte.</w:t>
      </w:r>
    </w:p>
    <w:p>
      <w:pPr>
        <w:numPr>
          <w:ilvl w:val="0"/>
          <w:numId w:val="1003"/>
        </w:numPr>
        <w:pStyle w:val="Compact"/>
      </w:pPr>
      <w:r>
        <w:t xml:space="preserve">Enlace a recursos formativos adicionales.</w:t>
      </w:r>
    </w:p>
    <w:p>
      <w:pPr>
        <w:numPr>
          <w:ilvl w:val="0"/>
          <w:numId w:val="1003"/>
        </w:numPr>
        <w:pStyle w:val="Compact"/>
      </w:pPr>
      <w:r>
        <w:t xml:space="preserve">Mensaje claro de que la simulación es interna y sin consecuencias disciplinarias.</w:t>
      </w:r>
    </w:p>
    <w:bookmarkEnd w:id="31"/>
    <w:bookmarkStart w:id="32" w:name="X7e5ca4752936211189581d2fcda114c8608eaeb"/>
    <w:p>
      <w:pPr>
        <w:pStyle w:val="Heading2"/>
      </w:pPr>
      <w:r>
        <w:t xml:space="preserve">9. CONCLUSIONES Y RECOMENDACIONES</w:t>
      </w:r>
    </w:p>
    <w:p>
      <w:pPr>
        <w:pStyle w:val="FirstParagraph"/>
      </w:pPr>
      <w:r>
        <w:rPr>
          <w:bCs/>
          <w:b/>
        </w:rPr>
        <w:t xml:space="preserve">Valoración global de la campaña</w:t>
      </w:r>
      <w:r>
        <w:t xml:space="preserve">: {{ valoracion_global }}.</w:t>
      </w:r>
    </w:p>
    <w:p>
      <w:pPr>
        <w:pStyle w:val="BodyText"/>
      </w:pPr>
      <w:r>
        <w:t xml:space="preserve">{{ conclusion_texto }}</w:t>
      </w:r>
    </w:p>
    <w:p>
      <w:pPr>
        <w:pStyle w:val="BodyText"/>
      </w:pPr>
      <w:r>
        <w:t xml:space="preserve">Recomendaciones para la siguiente campaña:</w:t>
      </w:r>
    </w:p>
    <w:p>
      <w:pPr>
        <w:pStyle w:val="BodyText"/>
      </w:pPr>
      <w:r>
        <w:t xml:space="preserve">{% for rec in recomendaciones %}- {{ rec }}</w:t>
      </w:r>
      <w:r>
        <w:t xml:space="preserve"> </w:t>
      </w:r>
      <w:r>
        <w:t xml:space="preserve">{% endfor %}</w:t>
      </w:r>
    </w:p>
    <w:bookmarkEnd w:id="32"/>
    <w:bookmarkStart w:id="33" w:name="X9bbc27351eee760f0f3528671db6179b8102a04"/>
    <w:p>
      <w:pPr>
        <w:pStyle w:val="Heading2"/>
      </w:pPr>
      <w:r>
        <w:t xml:space="preserve">10. EVIDENCIAS CONSERVADAS</w:t>
      </w:r>
    </w:p>
    <w:p>
      <w:pPr>
        <w:pStyle w:val="FirstParagraph"/>
      </w:pPr>
      <w:r>
        <w:t xml:space="preserve">Para cada campaña se conservan, durante un mínimo de</w:t>
      </w:r>
      <w:r>
        <w:t xml:space="preserve"> </w:t>
      </w:r>
      <w:r>
        <w:rPr>
          <w:bCs/>
          <w:b/>
        </w:rPr>
        <w:t xml:space="preserve">3 años</w:t>
      </w:r>
      <w:r>
        <w:t xml:space="preserve">, las siguientes evidencias:</w:t>
      </w:r>
    </w:p>
    <w:p>
      <w:pPr>
        <w:numPr>
          <w:ilvl w:val="0"/>
          <w:numId w:val="1004"/>
        </w:numPr>
        <w:pStyle w:val="Compact"/>
      </w:pPr>
      <w:r>
        <w:t xml:space="preserve">Plantilla del email simulado con metadatos (asunto, remitente, dominio).</w:t>
      </w:r>
    </w:p>
    <w:p>
      <w:pPr>
        <w:numPr>
          <w:ilvl w:val="0"/>
          <w:numId w:val="1004"/>
        </w:numPr>
        <w:pStyle w:val="Compact"/>
      </w:pPr>
      <w:r>
        <w:t xml:space="preserve">Logs completos de la plataforma (impactos, clicks, reportes con timestamp).</w:t>
      </w:r>
    </w:p>
    <w:p>
      <w:pPr>
        <w:numPr>
          <w:ilvl w:val="0"/>
          <w:numId w:val="1004"/>
        </w:numPr>
        <w:pStyle w:val="Compact"/>
      </w:pPr>
      <w:r>
        <w:t xml:space="preserve">Material formativo entregado tras el click.</w:t>
      </w:r>
    </w:p>
    <w:p>
      <w:pPr>
        <w:numPr>
          <w:ilvl w:val="0"/>
          <w:numId w:val="1004"/>
        </w:numPr>
        <w:pStyle w:val="Compact"/>
      </w:pPr>
      <w:r>
        <w:t xml:space="preserve">Lista anonimizada de KPIs por área (para análisis trend).</w:t>
      </w:r>
    </w:p>
    <w:p>
      <w:pPr>
        <w:numPr>
          <w:ilvl w:val="0"/>
          <w:numId w:val="1004"/>
        </w:numPr>
        <w:pStyle w:val="Compact"/>
      </w:pPr>
      <w:r>
        <w:t xml:space="preserve">Comunicación interna previa al Comité de Seguridad.</w:t>
      </w:r>
    </w:p>
    <w:bookmarkEnd w:id="33"/>
    <w:bookmarkStart w:id="34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4"/>
    <w:bookmarkEnd w:id="3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E-503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E-503 · INFORME DE SIMULACROS DE PHISHING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2026-05-17T19:22:59Z</dcterms:created>
  <dcterms:modified xsi:type="dcterms:W3CDTF">2026-05-17T19:22:59Z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