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655813995f47067ee6f3fff79d362020734c84"/>
    <w:p>
      <w:pPr>
        <w:pStyle w:val="Heading1"/>
      </w:pPr>
      <w:r>
        <w:t xml:space="preserve">INFORME FORMAL DE CAMPAÑA DE PHISHING DE {{ cliente.razon_social|upper }}</w:t>
      </w:r>
    </w:p>
    <w:p>
      <w:pPr>
        <w:pStyle w:val="FirstParagraph"/>
      </w:pPr>
      <w:r>
        <w:t xml:space="preserve">Documento {{ proyecto.codigo_documento_base }}-705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Informe formal de Campaña de Phishing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a9f383b23928f97ddde0499d23cf63a7384d52a"/>
    <w:p>
      <w:pPr>
        <w:pStyle w:val="Heading2"/>
      </w:pPr>
      <w:r>
        <w:t xml:space="preserve">1. OBJETO Y NATURALEZA DEL DOCUMENTO</w:t>
      </w:r>
    </w:p>
    <w:p>
      <w:pPr>
        <w:pStyle w:val="FirstParagraph"/>
      </w:pPr>
      <w:r>
        <w:t xml:space="preserve">El presente Informe documenta de forma</w:t>
      </w:r>
      <w:r>
        <w:t xml:space="preserve"> </w:t>
      </w:r>
      <w:r>
        <w:rPr>
          <w:bCs/>
          <w:b/>
        </w:rPr>
        <w:t xml:space="preserve">formal y exhaustiva</w:t>
      </w:r>
      <w:r>
        <w:t xml:space="preserve"> </w:t>
      </w:r>
      <w:r>
        <w:t xml:space="preserve">una campaña de phishing ejecutada como ejercicio singular de medición de la resiliencia humana de {{ cliente.razon_social }}, dirigido principalmente al auditor externo en categorías</w:t>
      </w:r>
      <w:r>
        <w:t xml:space="preserve"> </w:t>
      </w:r>
      <w:r>
        <w:rPr>
          <w:bCs/>
          <w:b/>
        </w:rPr>
        <w:t xml:space="preserve">MEDIA y ALTA</w:t>
      </w:r>
      <w:r>
        <w:t xml:space="preserve"> </w:t>
      </w:r>
      <w:r>
        <w:t xml:space="preserve">del ENS.</w:t>
      </w:r>
    </w:p>
    <w:p>
      <w:pPr>
        <w:pStyle w:val="BodyText"/>
      </w:pPr>
      <w:r>
        <w:t xml:space="preserve">Este Informe se diferencia del</w:t>
      </w:r>
      <w:r>
        <w:t xml:space="preserve"> </w:t>
      </w:r>
      <w:r>
        <w:rPr>
          <w:bCs/>
          <w:b/>
        </w:rPr>
        <w:t xml:space="preserve">E-503 Informe de Simulacros de Phishing</w:t>
      </w:r>
      <w:r>
        <w:t xml:space="preserve"> </w:t>
      </w:r>
      <w:r>
        <w:t xml:space="preserve">(vinculado al ciclo trimestral del LMS) en que:</w:t>
      </w:r>
    </w:p>
    <w:p>
      <w:pPr>
        <w:numPr>
          <w:ilvl w:val="0"/>
          <w:numId w:val="1001"/>
        </w:numPr>
        <w:pStyle w:val="Compact"/>
      </w:pPr>
      <w:r>
        <w:t xml:space="preserve">Documenta una campaña singular con profundidad técnica completa (metodología, infraestructura, indicadores de compromiso simulados).</w:t>
      </w:r>
    </w:p>
    <w:p>
      <w:pPr>
        <w:numPr>
          <w:ilvl w:val="0"/>
          <w:numId w:val="1001"/>
        </w:numPr>
        <w:pStyle w:val="Compact"/>
      </w:pPr>
      <w:r>
        <w:t xml:space="preserve">Incluye benchmarks sectoriales comparativos.</w:t>
      </w:r>
    </w:p>
    <w:p>
      <w:pPr>
        <w:numPr>
          <w:ilvl w:val="0"/>
          <w:numId w:val="1001"/>
        </w:numPr>
        <w:pStyle w:val="Compact"/>
      </w:pPr>
      <w:r>
        <w:t xml:space="preserve">Aporta análisis de comportamiento más detallado al equipo auditor.</w:t>
      </w:r>
    </w:p>
    <w:p>
      <w:pPr>
        <w:numPr>
          <w:ilvl w:val="0"/>
          <w:numId w:val="1001"/>
        </w:numPr>
        <w:pStyle w:val="Compact"/>
      </w:pPr>
      <w:r>
        <w:t xml:space="preserve">Suele realizarse en el último trimestre del año previo a la auditoría externa.</w:t>
      </w:r>
    </w:p>
    <w:bookmarkEnd w:id="22"/>
    <w:bookmarkStart w:id="23" w:name="X4416990872b81a82eaeda9ab793a352585a10f9"/>
    <w:p>
      <w:pPr>
        <w:pStyle w:val="Heading2"/>
      </w:pPr>
      <w:r>
        <w:t xml:space="preserve">2. MARCO NORMATIVO Y REFERENCIAS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RD 311/2022</w:t>
      </w:r>
      <w:r>
        <w:t xml:space="preserve"> </w:t>
      </w:r>
      <w:r>
        <w:t xml:space="preserve">Anexo II:</w:t>
      </w:r>
      <w:r>
        <w:t xml:space="preserve"> </w:t>
      </w:r>
      <w:r>
        <w:rPr>
          <w:bCs/>
          <w:b/>
        </w:rPr>
        <w:t xml:space="preserve">mp.per.3 Concienciación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mp.per.4 Formación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NIS2 Art. 21.2</w:t>
      </w:r>
      <w:r>
        <w:t xml:space="preserve"> </w:t>
      </w:r>
      <w:r>
        <w:t xml:space="preserve">(medidas de gestión de riesgos · pruebas periódicas).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DORA Art. 24-26</w:t>
      </w:r>
      <w:r>
        <w:t xml:space="preserve"> </w:t>
      </w:r>
      <w:r>
        <w:t xml:space="preserve">si la Entidad opera bajo el ámbito financiero.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CCN-STIC-481</w:t>
      </w:r>
      <w:r>
        <w:t xml:space="preserve"> </w:t>
      </w:r>
      <w:r>
        <w:t xml:space="preserve">Guía de concienciación bajo el ENS.</w:t>
      </w:r>
    </w:p>
    <w:bookmarkEnd w:id="23"/>
    <w:bookmarkStart w:id="24" w:name="Xdd7c7a323e97d5cdbccf2845b9453cdf9e35c00"/>
    <w:p>
      <w:pPr>
        <w:pStyle w:val="Heading2"/>
      </w:pPr>
      <w:r>
        <w:t xml:space="preserve">3. ALCANCE DE LA CAMPAÑA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campania.id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campania.fecha_inicio }} a {{ campania.fecha_fin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campania.duracion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campania.plataforma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campania.tipo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objetivo de la suplantación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campania.sector_simulado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campania.modalidad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campania.autorizacion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destinatarios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campania.total_destinatarios }}</w:t>
            </w:r>
          </w:p>
        </w:tc>
      </w:tr>
    </w:tbl>
    <w:bookmarkEnd w:id="24"/>
    <w:bookmarkStart w:id="28" w:name="X7f00ec648281ee2ae9271695a714d7d9b4119f0"/>
    <w:p>
      <w:pPr>
        <w:pStyle w:val="Heading2"/>
      </w:pPr>
      <w:r>
        <w:t xml:space="preserve">4. METODOLOGÍA TÉCNICA DETALLADA</w:t>
      </w:r>
    </w:p>
    <w:bookmarkStart w:id="25" w:name="X6fed4a8bb4f3b0c06eb62c19e420fa74b2bf470"/>
    <w:p>
      <w:pPr>
        <w:pStyle w:val="Heading3"/>
      </w:pPr>
      <w:r>
        <w:t xml:space="preserve">4.1 Diseño del escenario</w:t>
      </w:r>
    </w:p>
    <w:p>
      <w:pPr>
        <w:pStyle w:val="FirstParagraph"/>
      </w:pPr>
      <w:r>
        <w:t xml:space="preserve">El escenario reproduce un ataque realista basado en TTPs documentados (MITRE ATT&amp;CK):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T1566.001 Spearphishing Attachment</w:t>
      </w:r>
      <w:r>
        <w:t xml:space="preserve"> </w:t>
      </w:r>
      <w:r>
        <w:t xml:space="preserve">(si aplica).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T1566.002 Spearphishing Link</w:t>
      </w:r>
      <w:r>
        <w:t xml:space="preserve"> </w:t>
      </w:r>
      <w:r>
        <w:t xml:space="preserve">(si aplica).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T1078 Valid Accounts</w:t>
      </w:r>
      <w:r>
        <w:t xml:space="preserve"> </w:t>
      </w:r>
      <w:r>
        <w:t xml:space="preserve">mediante suplantación visual.</w:t>
      </w:r>
    </w:p>
    <w:p>
      <w:pPr>
        <w:pStyle w:val="FirstParagraph"/>
      </w:pPr>
      <w:r>
        <w:t xml:space="preserve">Descripción del escenario: {{ escenario.descripcion }}.</w:t>
      </w:r>
    </w:p>
    <w:bookmarkEnd w:id="25"/>
    <w:bookmarkStart w:id="26" w:name="X5f46139c94d976a490447ede559aba2e44c5567"/>
    <w:p>
      <w:pPr>
        <w:pStyle w:val="Heading3"/>
      </w:pPr>
      <w:r>
        <w:t xml:space="preserve">4.2 Infraestructura empleada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Dominio remitente</w:t>
      </w:r>
      <w:r>
        <w:t xml:space="preserve">: {{ infraestructura.dominio_remitente }} (registrado expresamente para la campaña).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Plataforma de envío</w:t>
      </w:r>
      <w:r>
        <w:t xml:space="preserve">: {{ infraestructura.plataforma_envio }}.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Página de landing controlada</w:t>
      </w:r>
      <w:r>
        <w:t xml:space="preserve">: {{ infraestructura.landing }}.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Sistema de captura de credenciales</w:t>
      </w:r>
      <w:r>
        <w:t xml:space="preserve"> </w:t>
      </w:r>
      <w:r>
        <w:t xml:space="preserve">(simulado, sin retención real): {{ infraestructura.captura }}.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Sistema de tracking</w:t>
      </w:r>
      <w:r>
        <w:t xml:space="preserve">: {{ infraestructura.tracking }}.</w:t>
      </w:r>
    </w:p>
    <w:bookmarkEnd w:id="26"/>
    <w:bookmarkStart w:id="27" w:name="X0920fba665ecc0c5a5a4be9bebb897ea209cf5f"/>
    <w:p>
      <w:pPr>
        <w:pStyle w:val="Heading3"/>
      </w:pPr>
      <w:r>
        <w:t xml:space="preserve">4.3 Configuración técnica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SPF/DKIM/DMARC del dominio simulado</w:t>
      </w:r>
      <w:r>
        <w:t xml:space="preserve">: configurados para no marcar como spam el mensaje en el alcance interno.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Bypass de filtros corporativos</w:t>
      </w:r>
      <w:r>
        <w:t xml:space="preserve">: coordinado con el departamento de IT-Sec para permitir la llegada al buzón objetivo.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Trazabilidad temporal</w:t>
      </w:r>
      <w:r>
        <w:t xml:space="preserve">: cada acción del usuario queda registrada con timestamp en UTC.</w:t>
      </w:r>
    </w:p>
    <w:bookmarkEnd w:id="27"/>
    <w:bookmarkEnd w:id="28"/>
    <w:bookmarkStart w:id="29" w:name="Xd4438444bb5c7164903dff1afc95f7695729c29"/>
    <w:p>
      <w:pPr>
        <w:pStyle w:val="Heading2"/>
      </w:pPr>
      <w:r>
        <w:t xml:space="preserve">5. POBLACIÓN OBJETIVO Y SEGMENTACIÓN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Nº destinatarios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seg in segmentacion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seg.nombre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seg.justificacion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9"/>
    <w:bookmarkStart w:id="30" w:name="X450545123f6474a74e1110b2219404c99169646"/>
    <w:p>
      <w:pPr>
        <w:pStyle w:val="Heading2"/>
      </w:pPr>
      <w:r>
        <w:t xml:space="preserve">6. RESULTADOS CUANTITATIVOS GLOBALES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absoluto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sobre destinatarios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Benchmark sectorial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Entregados con éxito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resultados.entregados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Abiertos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resultados.abiertos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resultados.tasa_abierto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resultados.benchmark_abierto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Clicks en enlace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resultados.clicks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resultados.tasa_click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resultados.benchmark_click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Credenciales introducidas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resultados.credenciales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resultados.tasa_credenciales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resultados.benchmark_credenciales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 correctos a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resultados.reportes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resultados.tasa_reporte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resultados.benchmark_reporte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medio hasta primer reporte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resultados.tiempo_primer_reporte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resultados.benchmark_tiempo }}</w:t>
            </w:r>
          </w:p>
        </w:tc>
      </w:tr>
    </w:tbl>
    <w:bookmarkEnd w:id="30"/>
    <w:bookmarkStart w:id="31" w:name="X370f4cab4bba2419fb9fa89587e00b3335e80cd"/>
    <w:p>
      <w:pPr>
        <w:pStyle w:val="Heading2"/>
      </w:pPr>
      <w:r>
        <w:t xml:space="preserve">7. ANÁLISIS COMPARATIVO CON CAMPAÑAS PREVIAS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click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reporte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Variación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prev in campanyas_previas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prev.id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prev.fecha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prev.tasa_click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prev.tasa_reporte }}%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Tendencia identificada</w:t>
      </w:r>
      <w:r>
        <w:t xml:space="preserve">: {{ tendencia_texto }}.</w:t>
      </w:r>
    </w:p>
    <w:bookmarkEnd w:id="31"/>
    <w:bookmarkStart w:id="35" w:name="Xde57e6b33364f6c832c6345e0af542bf33b5801"/>
    <w:p>
      <w:pPr>
        <w:pStyle w:val="Heading2"/>
      </w:pPr>
      <w:r>
        <w:t xml:space="preserve">8. ANÁLISIS CUALITATIVO</w:t>
      </w:r>
    </w:p>
    <w:bookmarkStart w:id="32" w:name="X77fc56f70a30347ab6dac59a6ea17991eabf5e4"/>
    <w:p>
      <w:pPr>
        <w:pStyle w:val="Heading3"/>
      </w:pPr>
      <w:r>
        <w:t xml:space="preserve">8.1 Comportamiento por segmento</w:t>
      </w:r>
    </w:p>
    <w:p>
      <w:pPr>
        <w:pStyle w:val="FirstParagraph"/>
      </w:pPr>
      <w:r>
        <w:t xml:space="preserve">{% for analisis in analisis_segmentos %}-</w:t>
      </w:r>
      <w:r>
        <w:t xml:space="preserve"> </w:t>
      </w:r>
      <w:r>
        <w:rPr>
          <w:bCs/>
          <w:b/>
        </w:rPr>
        <w:t xml:space="preserve">{{ analisis.segmento }}</w:t>
      </w:r>
      <w:r>
        <w:t xml:space="preserve">: {{ analisis.descripcion }}.</w:t>
      </w:r>
      <w:r>
        <w:t xml:space="preserve"> </w:t>
      </w:r>
      <w:r>
        <w:t xml:space="preserve">{% endfor %}</w:t>
      </w:r>
    </w:p>
    <w:bookmarkEnd w:id="32"/>
    <w:bookmarkStart w:id="33" w:name="X3a31b28b57228c6c72f5acc111dc63a29100763"/>
    <w:p>
      <w:pPr>
        <w:pStyle w:val="Heading3"/>
      </w:pPr>
      <w:r>
        <w:t xml:space="preserve">8.2 Señales que los empleados detectaron correctamente</w:t>
      </w:r>
    </w:p>
    <w:p>
      <w:pPr>
        <w:pStyle w:val="FirstParagraph"/>
      </w:pPr>
      <w:r>
        <w:t xml:space="preserve">{% for señal in señales_detectadas %}- {{ señal }}</w:t>
      </w:r>
      <w:r>
        <w:t xml:space="preserve"> </w:t>
      </w:r>
      <w:r>
        <w:t xml:space="preserve">{% endfor %}</w:t>
      </w:r>
    </w:p>
    <w:bookmarkEnd w:id="33"/>
    <w:bookmarkStart w:id="34" w:name="X05c44180b70be0c6e123d2aa26b1138f2190086"/>
    <w:p>
      <w:pPr>
        <w:pStyle w:val="Heading3"/>
      </w:pPr>
      <w:r>
        <w:t xml:space="preserve">8.3 Señales que pasaron desapercibidas</w:t>
      </w:r>
    </w:p>
    <w:p>
      <w:pPr>
        <w:pStyle w:val="FirstParagraph"/>
      </w:pPr>
      <w:r>
        <w:t xml:space="preserve">{% for señal in señales_no_detectadas %}- {{ señal }}</w:t>
      </w:r>
      <w:r>
        <w:t xml:space="preserve"> </w:t>
      </w:r>
      <w:r>
        <w:t xml:space="preserve">{% endfor %}</w:t>
      </w:r>
    </w:p>
    <w:bookmarkEnd w:id="34"/>
    <w:bookmarkEnd w:id="35"/>
    <w:bookmarkStart w:id="38" w:name="X3fcb31fc42df32068da4058889efc941d6e32bd"/>
    <w:p>
      <w:pPr>
        <w:pStyle w:val="Heading2"/>
      </w:pPr>
      <w:r>
        <w:t xml:space="preserve">9. ACCIONES POSTERIORES</w:t>
      </w:r>
    </w:p>
    <w:bookmarkStart w:id="36" w:name="Xef2ee3c728b310783610a032f649ba186d9ae95"/>
    <w:p>
      <w:pPr>
        <w:pStyle w:val="Heading3"/>
      </w:pPr>
      <w:r>
        <w:t xml:space="preserve">9.1 Acciones individuales</w:t>
      </w:r>
    </w:p>
    <w:p>
      <w:pPr>
        <w:pStyle w:val="FirstParagraph"/>
      </w:pPr>
      <w:r>
        <w:t xml:space="preserve">Los empleados que han hecho click reciben formación de refuerzo conforme al protocolo del Plan E-500.</w:t>
      </w:r>
    </w:p>
    <w:bookmarkEnd w:id="36"/>
    <w:bookmarkStart w:id="37" w:name="Xd5aa59e3c3d2093121661790e72c1c045d3c3f9"/>
    <w:p>
      <w:pPr>
        <w:pStyle w:val="Heading3"/>
      </w:pPr>
      <w:r>
        <w:t xml:space="preserve">9.2 Acciones colectivas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ac in acciones_colectivas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ac.audiencia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ac.responsable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7"/>
    <w:bookmarkEnd w:id="38"/>
    <w:bookmarkStart w:id="39" w:name="Xa15482b7676bd4290b7cb79ec00d3706fa73b6e"/>
    <w:p>
      <w:pPr>
        <w:pStyle w:val="Heading2"/>
      </w:pPr>
      <w:r>
        <w:t xml:space="preserve">10. CONCLUSIONES Y RECOMENDACIONES PARA EL AUDITOR</w:t>
      </w:r>
    </w:p>
    <w:p>
      <w:pPr>
        <w:pStyle w:val="FirstParagraph"/>
      </w:pPr>
      <w:r>
        <w:rPr>
          <w:bCs/>
          <w:b/>
        </w:rPr>
        <w:t xml:space="preserve">Valoración global</w:t>
      </w:r>
      <w:r>
        <w:t xml:space="preserve">: {{ valoracion }}.</w:t>
      </w:r>
    </w:p>
    <w:p>
      <w:pPr>
        <w:pStyle w:val="BodyText"/>
      </w:pPr>
      <w:r>
        <w:t xml:space="preserve">{{ conclusion_texto }}</w:t>
      </w:r>
    </w:p>
    <w:p>
      <w:pPr>
        <w:pStyle w:val="BodyText"/>
      </w:pPr>
      <w:r>
        <w:t xml:space="preserve">Recomendaciones para el siguiente ciclo:</w:t>
      </w:r>
    </w:p>
    <w:p>
      <w:pPr>
        <w:pStyle w:val="BodyText"/>
      </w:pPr>
      <w:r>
        <w:t xml:space="preserve">{% for rec in recomendaciones %}- {{ rec }}</w:t>
      </w:r>
      <w:r>
        <w:t xml:space="preserve"> </w:t>
      </w:r>
      <w:r>
        <w:t xml:space="preserve">{% endfor %}</w:t>
      </w:r>
    </w:p>
    <w:bookmarkEnd w:id="39"/>
    <w:bookmarkStart w:id="40" w:name="Xf6db093267fbccdab5f41028db2ac499e51ccea"/>
    <w:p>
      <w:pPr>
        <w:pStyle w:val="Heading2"/>
      </w:pPr>
      <w:r>
        <w:t xml:space="preserve">11. ANEXOS PARA EL AUDITOR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Anexo A</w:t>
      </w:r>
      <w:r>
        <w:t xml:space="preserve">: Plantilla del email simulado con metadatos completos.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Anexo B</w:t>
      </w:r>
      <w:r>
        <w:t xml:space="preserve">: Capturas de la página de landing post-click.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Anexo C</w:t>
      </w:r>
      <w:r>
        <w:t xml:space="preserve">: Logs anonimizados completos.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Anexo D</w:t>
      </w:r>
      <w:r>
        <w:t xml:space="preserve">: Comunicación previa al Comité de Seguridad autorizando la campaña.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Anexo E</w:t>
      </w:r>
      <w:r>
        <w:t xml:space="preserve">: Evidencias de la formación de refuerzo entregada tras la campaña.</w:t>
      </w:r>
    </w:p>
    <w:bookmarkEnd w:id="40"/>
    <w:bookmarkStart w:id="41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41"/>
    <w:bookmarkEnd w:id="42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E-705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E-705 · INFORME FORMAL DE CAMPAÑA DE PHISHING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2026-05-17T21:07:29Z</dcterms:created>
  <dcterms:modified xsi:type="dcterms:W3CDTF">2026-05-17T21:07:29Z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