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85f4aee3412718743dd5c1ead2eac502e357b05"/>
    <w:p>
      <w:pPr>
        <w:pStyle w:val="Heading1"/>
      </w:pPr>
      <w:r>
        <w:t xml:space="preserve">CONTRATO DE SERVICIOS DE MANTENIMIENTO CONTINUO DEL SISTEMA DE GESTIÓN DE LA SEGURIDAD DE LA INFORMACIÓN (SGSI ENS)</w:t>
      </w:r>
    </w:p>
    <w:p>
      <w:pPr>
        <w:pStyle w:val="FirstParagraph"/>
      </w:pPr>
      <w:r>
        <w:rPr>
          <w:bCs/>
          <w:b/>
        </w:rPr>
        <w:t>Contrato C-003 · Modalidad RETAINER · Versión {{ contrato.version | default(‘1.0’) }}</w:t>
      </w:r>
    </w:p>
    <w:p>
      <w:pPr>
        <w:pStyle w:val="BodyText"/>
      </w:pPr>
      <w:r>
        <w:t>En {{ contrato.lugar_firma | default(‘Madrid’) }}, a {{ contrato.fecha_firma }}.</w:t>
      </w:r>
    </w:p>
    <w:p>
      <w:r>
        <w:pict>
          <v:rect style="width:0;height:1.5pt" o:hralign="center" o:hrstd="t" o:hr="t"/>
        </w:pict>
      </w:r>
    </w:p>
    <w:bookmarkStart w:id="20" w:name="reunidos"/>
    <w:p>
      <w:pPr>
        <w:pStyle w:val="Heading2"/>
      </w:pPr>
      <w:r>
        <w:t xml:space="preserve">REUNIDOS</w:t>
      </w:r>
    </w:p>
    <w:p>
      <w:pPr>
        <w:pStyle w:val="FirstParagraph"/>
      </w:pPr>
      <w:r>
        <w:rPr>
          <w:bCs/>
          <w:b/>
        </w:rPr>
        <w:t xml:space="preserve">De una parte,</w:t>
      </w:r>
      <w:r>
        <w:t xml:space="preserve"> </w:t>
      </w:r>
      <w:r>
        <w:t xml:space="preserve">D. Marcos Mata García, con N.I.F. {{ marcos.nif }}, y domicilio profesional en {{ marcos.domicilio }}, en su condición de profesional autónomo independiente (en adelante,</w:t>
      </w:r>
      <w:r>
        <w:t xml:space="preserve"> </w:t>
      </w:r>
      <w:r>
        <w:rPr>
          <w:bCs/>
          <w:b/>
        </w:rPr>
        <w:t xml:space="preserve">“</w:t>
      </w:r>
      <w:r>
        <w:rPr>
          <w:bCs/>
          <w:b/>
        </w:rPr>
        <w:t xml:space="preserve">FULKRO</w:t>
      </w:r>
      <w:r>
        <w:rPr>
          <w:bCs/>
          <w:b/>
        </w:rPr>
        <w:t xml:space="preserve">”</w:t>
      </w:r>
      <w:r>
        <w:t xml:space="preserve"> </w:t>
      </w:r>
      <w:r>
        <w:t xml:space="preserve">o</w:t>
      </w:r>
      <w:r>
        <w:t xml:space="preserve"> </w:t>
      </w:r>
      <w:r>
        <w:rPr>
          <w:bCs/>
          <w:b/>
        </w:rPr>
        <w:t xml:space="preserve">“</w:t>
      </w:r>
      <w:r>
        <w:rPr>
          <w:bCs/>
          <w:b/>
        </w:rPr>
        <w:t xml:space="preserve">el Consultor</w:t>
      </w:r>
      <w:r>
        <w:rPr>
          <w:bCs/>
          <w:b/>
        </w:rPr>
        <w:t xml:space="preserve">”</w:t>
      </w:r>
      <w:r>
        <w:t xml:space="preserve">).</w:t>
      </w:r>
    </w:p>
    <w:p>
      <w:pPr>
        <w:pStyle w:val="BodyText"/>
      </w:pPr>
      <w:r>
        <w:rPr>
          <w:bCs/>
          <w:b/>
        </w:rPr>
        <w:t xml:space="preserve">Y de otra parte,</w:t>
      </w:r>
      <w:r>
        <w:t xml:space="preserve"> </w:t>
      </w:r>
      <w:r>
        <w:t xml:space="preserve">{{ cliente.razon_social }}, con N.I.F. {{ cliente.nif }} y domicilio social en {{ cliente.domicilio_social }}, debidamente representada por D./Dña. {{ cliente.firmante.nombre_completo }}, en su condición de {{ cliente.firmante.cargo }} (en adelante,</w:t>
      </w:r>
      <w:r>
        <w:t xml:space="preserve"> </w:t>
      </w:r>
      <w:r>
        <w:rPr>
          <w:bCs/>
          <w:b/>
        </w:rPr>
        <w:t xml:space="preserve">“</w:t>
      </w:r>
      <w:r>
        <w:rPr>
          <w:bCs/>
          <w:b/>
        </w:rPr>
        <w:t xml:space="preserve">el Cliente</w:t>
      </w:r>
      <w:r>
        <w:rPr>
          <w:bCs/>
          <w:b/>
        </w:rPr>
        <w:t xml:space="preserve">”</w:t>
      </w:r>
      <w:r>
        <w:t xml:space="preserve">).</w:t>
      </w:r>
    </w:p>
    <w:bookmarkEnd w:id="20"/>
    <w:bookmarkStart w:id="21" w:name="exponen"/>
    <w:p>
      <w:pPr>
        <w:pStyle w:val="Heading2"/>
      </w:pPr>
      <w:r>
        <w:t xml:space="preserve">EXPONEN</w:t>
      </w:r>
    </w:p>
    <w:p>
      <w:pPr>
        <w:pStyle w:val="FirstParagraph"/>
      </w:pPr>
      <w:r>
        <w:rPr>
          <w:bCs/>
          <w:b/>
        </w:rPr>
        <w:t xml:space="preserve">I.</w:t>
      </w:r>
      <w:r>
        <w:t xml:space="preserve"> </w:t>
      </w:r>
      <w:r>
        <w:t xml:space="preserve">Que con fecha {{ contrato.fecha_contrato_anterior }} las Partes suscribieron un Contrato de Prestación de Servicios Profesionales de Consultoría ENS (referencia C-001), cuyo objeto era la adecuación del Cliente al Esquema Nacional de Seguridad y la obtención del correspondiente certificado de conformidad.</w:t>
      </w:r>
    </w:p>
    <w:p>
      <w:pPr>
        <w:pStyle w:val="BodyText"/>
      </w:pPr>
      <w:r>
        <w:rPr>
          <w:bCs/>
          <w:b/>
        </w:rPr>
        <w:t xml:space="preserve">II.</w:t>
      </w:r>
      <w:r>
        <w:t xml:space="preserve"> </w:t>
      </w:r>
      <w:r>
        <w:t xml:space="preserve">Que con fecha {{ contrato.fecha_certificacion }} el Cliente obtuvo el certificado de conformidad ENS expedido por {{ contrato.entidad_certificadora }}, en categoría {{ contrato.categoria_ens }}, con vigencia hasta {{ contrato.fecha_caducidad_certificado }}.</w:t>
      </w:r>
    </w:p>
    <w:p>
      <w:pPr>
        <w:pStyle w:val="BodyText"/>
      </w:pPr>
      <w:r>
        <w:rPr>
          <w:bCs/>
          <w:b/>
        </w:rPr>
        <w:t xml:space="preserve">III.</w:t>
      </w:r>
      <w:r>
        <w:t xml:space="preserve"> </w:t>
      </w:r>
      <w:r>
        <w:t xml:space="preserve">Que el certificado de conformidad ENS, de acuerdo con la normativa aplicable, requiere ser renovado con periodicidad bienal mediante la realización de una nueva auditoría de certificación. Adicionalmente, el mantenimiento de la conformidad exige la realización continua de actividades de gobernanza, supervisión y mejora del SGSI implantado.</w:t>
      </w:r>
    </w:p>
    <w:p>
      <w:pPr>
        <w:pStyle w:val="BodyText"/>
      </w:pPr>
      <w:r>
        <w:rPr>
          <w:bCs/>
          <w:b/>
        </w:rPr>
        <w:t xml:space="preserve">IV.</w:t>
      </w:r>
      <w:r>
        <w:t xml:space="preserve"> </w:t>
      </w:r>
      <w:r>
        <w:t xml:space="preserve">Que el Cliente desea contar con el acompañamiento profesional continuo del Consultor para el mantenimiento del SGSI durante el período de validez del certificado y para la preparación de la futura auditoría de renovación.</w:t>
      </w:r>
    </w:p>
    <w:p>
      <w:pPr>
        <w:pStyle w:val="BodyText"/>
      </w:pPr>
      <w:r>
        <w:rPr>
          <w:bCs/>
          <w:b/>
        </w:rPr>
        <w:t xml:space="preserve">V.</w:t>
      </w:r>
      <w:r>
        <w:t xml:space="preserve"> </w:t>
      </w:r>
      <w:r>
        <w:t xml:space="preserve">Que las Partes desean formalizar la prestación de los servicios de mantenimiento continuo conforme a las siguientes</w:t>
      </w:r>
    </w:p>
    <w:bookmarkEnd w:id="21"/>
    <w:bookmarkStart w:id="28" w:name="cláusulas"/>
    <w:p>
      <w:pPr>
        <w:pStyle w:val="Heading2"/>
      </w:pPr>
      <w:r>
        <w:t xml:space="preserve">CLÁUSULAS</w:t>
      </w:r>
    </w:p>
    <w:bookmarkStart w:id="22" w:name="primera-objeto"/>
    <w:p>
      <w:pPr>
        <w:pStyle w:val="Heading3"/>
      </w:pPr>
      <w:r>
        <w:t xml:space="preserve">PRIMERA — OBJETO</w:t>
      </w:r>
    </w:p>
    <w:p>
      <w:pPr>
        <w:pStyle w:val="FirstParagraph"/>
      </w:pPr>
      <w:r>
        <w:t xml:space="preserve">1.1. El objeto del presente contrato es la prestación, por parte del Consultor al Cliente, de servicios profesionales continuados destinados al</w:t>
      </w:r>
      <w:r>
        <w:t xml:space="preserve"> </w:t>
      </w:r>
      <w:r>
        <w:rPr>
          <w:bCs/>
          <w:b/>
        </w:rPr>
        <w:t xml:space="preserve">mantenimiento del Sistema de Gestión de la Seguridad de la Información</w:t>
      </w:r>
      <w:r>
        <w:t xml:space="preserve"> </w:t>
      </w:r>
      <w:r>
        <w:t xml:space="preserve">del Cliente conforme al ENS, durante el período de validez de su certificado de conformidad y, en particular, hasta la próxima auditoría de renovación.</w:t>
      </w:r>
    </w:p>
    <w:p>
      <w:pPr>
        <w:pStyle w:val="BodyText"/>
      </w:pPr>
      <w:r>
        <w:t xml:space="preserve">1.2. Los servicios incluidos en el presente contrato comprenden:</w:t>
      </w:r>
    </w:p>
    <w:p>
      <w:pPr>
        <w:numPr>
          <w:ilvl w:val="0"/>
          <w:numId w:val="1001"/>
        </w:numPr>
      </w:pPr>
      <w:r>
        <w:rPr>
          <w:bCs/>
          <w:b/>
        </w:rPr>
        <w:t xml:space="preserve">Soporte continuo</w:t>
      </w:r>
      <w:r>
        <w:t xml:space="preserve"> </w:t>
      </w:r>
      <w:r>
        <w:t xml:space="preserve">por correo electrónico y teléfono para resolución de consultas operativas del Cliente sobre el SGSI.</w:t>
      </w:r>
    </w:p>
    <w:p>
      <w:pPr>
        <w:numPr>
          <w:ilvl w:val="0"/>
          <w:numId w:val="1001"/>
        </w:numPr>
      </w:pPr>
      <w:r>
        <w:rPr>
          <w:bCs/>
          <w:b/>
        </w:rPr>
        <w:t xml:space="preserve">Revisión documental anual</w:t>
      </w:r>
      <w:r>
        <w:t xml:space="preserve"> </w:t>
      </w:r>
      <w:r>
        <w:t xml:space="preserve">de las políticas, procedimientos e instrucciones técnicas del SGSI, con propuesta de actualización de los documentos cuya vigencia lo requiera.</w:t>
      </w:r>
    </w:p>
    <w:p>
      <w:pPr>
        <w:numPr>
          <w:ilvl w:val="0"/>
          <w:numId w:val="1001"/>
        </w:numPr>
      </w:pPr>
      <w:r>
        <w:rPr>
          <w:bCs/>
          <w:b/>
        </w:rPr>
        <w:t xml:space="preserve">Acompañamiento en la actualización del Análisis de Riesgos</w:t>
      </w:r>
      <w:r>
        <w:t xml:space="preserve"> </w:t>
      </w:r>
      <w:r>
        <w:t xml:space="preserve">anual conforme al procedimiento E-200.</w:t>
      </w:r>
    </w:p>
    <w:p>
      <w:pPr>
        <w:numPr>
          <w:ilvl w:val="0"/>
          <w:numId w:val="1001"/>
        </w:numPr>
      </w:pPr>
      <w:r>
        <w:rPr>
          <w:bCs/>
          <w:b/>
        </w:rPr>
        <w:t xml:space="preserve">Acompañamiento en la realización de la auditoría interna</w:t>
      </w:r>
      <w:r>
        <w:t xml:space="preserve"> </w:t>
      </w:r>
      <w:r>
        <w:t xml:space="preserve">anual del SGSI conforme al procedimiento E-234, con asistencia opcional como auditor independiente.</w:t>
      </w:r>
    </w:p>
    <w:p>
      <w:pPr>
        <w:numPr>
          <w:ilvl w:val="0"/>
          <w:numId w:val="1001"/>
        </w:numPr>
      </w:pPr>
      <w:r>
        <w:rPr>
          <w:bCs/>
          <w:b/>
        </w:rPr>
        <w:t xml:space="preserve">Vigilancia regulatoria continua</w:t>
      </w:r>
      <w:r>
        <w:t xml:space="preserve">: notificación al Cliente de cualquier cambio normativo significativo (RD 311/2022, ITS, guías CCN-STIC, RGPD, NIS2, DORA en su caso) que pueda afectar al SGSI, con propuesta de las acciones necesarias para mantener el cumplimiento.</w:t>
      </w:r>
    </w:p>
    <w:p>
      <w:pPr>
        <w:numPr>
          <w:ilvl w:val="0"/>
          <w:numId w:val="1001"/>
        </w:numPr>
      </w:pPr>
      <w:r>
        <w:rPr>
          <w:bCs/>
          <w:b/>
        </w:rPr>
        <w:t xml:space="preserve">Análisis de incidentes de seguridad</w:t>
      </w:r>
      <w:r>
        <w:t xml:space="preserve"> </w:t>
      </w:r>
      <w:r>
        <w:t xml:space="preserve">notificados por el Cliente, con propuesta de medidas correctivas.</w:t>
      </w:r>
    </w:p>
    <w:p>
      <w:pPr>
        <w:numPr>
          <w:ilvl w:val="0"/>
          <w:numId w:val="1001"/>
        </w:numPr>
      </w:pPr>
      <w:r>
        <w:rPr>
          <w:bCs/>
          <w:b/>
        </w:rPr>
        <w:t xml:space="preserve">Preparación específica de la auditoría de renovación</w:t>
      </w:r>
      <w:r>
        <w:t xml:space="preserve"> </w:t>
      </w:r>
      <w:r>
        <w:t xml:space="preserve">durante los tres meses anteriores a su realización, incluyendo revisión documental, simulacro de auditoría y acompañamiento durante la auditoría externa.</w:t>
      </w:r>
    </w:p>
    <w:p>
      <w:pPr>
        <w:numPr>
          <w:ilvl w:val="0"/>
          <w:numId w:val="1001"/>
        </w:numPr>
      </w:pPr>
      <w:r>
        <w:rPr>
          <w:bCs/>
          <w:b/>
        </w:rPr>
        <w:t xml:space="preserve">Reuniones periódicas de seguimiento</w:t>
      </w:r>
      <w:r>
        <w:t xml:space="preserve"> </w:t>
      </w:r>
      <w:r>
        <w:t xml:space="preserve">del SGSI conforme a la cláusula segunda.</w:t>
      </w:r>
    </w:p>
    <w:bookmarkEnd w:id="22"/>
    <w:bookmarkStart w:id="23" w:name="segunda-régimen-de-prestación"/>
    <w:p>
      <w:pPr>
        <w:pStyle w:val="Heading3"/>
      </w:pPr>
      <w:r>
        <w:t xml:space="preserve">SEGUNDA — RÉGIMEN DE PRESTACIÓN</w:t>
      </w:r>
    </w:p>
    <w:p>
      <w:pPr>
        <w:pStyle w:val="FirstParagraph"/>
      </w:pPr>
      <w:r>
        <w:t xml:space="preserve">2.1. Los servicios se prestarán bajo modalidad de</w:t>
      </w:r>
      <w:r>
        <w:t xml:space="preserve"> </w:t>
      </w:r>
      <w:r>
        <w:rPr>
          <w:bCs/>
          <w:b/>
        </w:rPr>
        <w:t xml:space="preserve">retainer mensual con horas dedicadas predefinidas</w:t>
      </w:r>
      <w:r>
        <w:t xml:space="preserve">, garantizando al Cliente la disponibilidad del Consultor para los servicios objeto del presente contrato.</w:t>
      </w:r>
    </w:p>
    <w:p>
      <w:pPr>
        <w:pStyle w:val="BodyText"/>
      </w:pPr>
      <w:r>
        <w:t xml:space="preserve">2.2. El nivel de servicio contratado por el Cliente, conforme a la propuesta P-001-R que se adjunta como Anexo I, 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Concepto</w:t>
            </w:r>
          </w:p>
        </w:tc>
        <w:tc>
          <w:tcPr/>
          <w:p>
            <w:pPr>
              <w:pStyle w:val="Compact"/>
              <w:jc w:val="left"/>
            </w:pPr>
            <w:r>
              <w:t xml:space="preserve">Detalle</w:t>
            </w:r>
          </w:p>
        </w:tc>
      </w:tr>
      <w:tr>
        <w:tc>
          <w:tcPr/>
          <w:p>
            <w:pPr>
              <w:pStyle w:val="Compact"/>
              <w:jc w:val="left"/>
            </w:pPr>
            <w:r>
              <w:t xml:space="preserve">Modalidad</w:t>
            </w:r>
          </w:p>
        </w:tc>
        <w:tc>
          <w:tcPr/>
          <w:p>
            <w:pPr>
              <w:pStyle w:val="Compact"/>
              <w:jc w:val="left"/>
            </w:pPr>
            <w:r>
              <w:t xml:space="preserve">{{ retainer.modalidad }}</w:t>
            </w:r>
          </w:p>
        </w:tc>
      </w:tr>
      <w:tr>
        <w:tc>
          <w:tcPr/>
          <w:p>
            <w:pPr>
              <w:pStyle w:val="Compact"/>
              <w:jc w:val="left"/>
            </w:pPr>
            <w:r>
              <w:t xml:space="preserve">Horas mensuales incluidas</w:t>
            </w:r>
          </w:p>
        </w:tc>
        <w:tc>
          <w:tcPr/>
          <w:p>
            <w:pPr>
              <w:pStyle w:val="Compact"/>
              <w:jc w:val="left"/>
            </w:pPr>
            <w:r>
              <w:t xml:space="preserve">{{ retainer.horas_mensuales }} h/mes</w:t>
            </w:r>
          </w:p>
        </w:tc>
      </w:tr>
      <w:tr>
        <w:tc>
          <w:tcPr/>
          <w:p>
            <w:pPr>
              <w:pStyle w:val="Compact"/>
              <w:jc w:val="left"/>
            </w:pPr>
            <w:r>
              <w:t xml:space="preserve">Horas anuales incluidas</w:t>
            </w:r>
          </w:p>
        </w:tc>
        <w:tc>
          <w:tcPr/>
          <w:p>
            <w:pPr>
              <w:pStyle w:val="Compact"/>
              <w:jc w:val="left"/>
            </w:pPr>
            <w:r>
              <w:t xml:space="preserve">{{ retainer.horas_anuales }} h/año</w:t>
            </w:r>
          </w:p>
        </w:tc>
      </w:tr>
      <w:tr>
        <w:tc>
          <w:tcPr/>
          <w:p>
            <w:pPr>
              <w:pStyle w:val="Compact"/>
              <w:jc w:val="left"/>
            </w:pPr>
            <w:r>
              <w:t xml:space="preserve">Reuniones periódicas presenciales o por videoconferencia</w:t>
            </w:r>
          </w:p>
        </w:tc>
        <w:tc>
          <w:tcPr/>
          <w:p>
            <w:pPr>
              <w:pStyle w:val="Compact"/>
              <w:jc w:val="left"/>
            </w:pPr>
            <w:r>
              <w:t xml:space="preserve">{{ retainer.frecuencia_reuniones }}</w:t>
            </w:r>
          </w:p>
        </w:tc>
      </w:tr>
      <w:tr>
        <w:tc>
          <w:tcPr/>
          <w:p>
            <w:pPr>
              <w:pStyle w:val="Compact"/>
              <w:jc w:val="left"/>
            </w:pPr>
            <w:r>
              <w:t xml:space="preserve">Tiempo de respuesta a consultas urgentes</w:t>
            </w:r>
          </w:p>
        </w:tc>
        <w:tc>
          <w:tcPr/>
          <w:p>
            <w:pPr>
              <w:pStyle w:val="Compact"/>
              <w:jc w:val="left"/>
            </w:pPr>
            <w:r>
              <w:t>{{ retainer.sla_respuesta_urgente | default(‘4 horas hábiles’) }}</w:t>
            </w:r>
          </w:p>
        </w:tc>
      </w:tr>
      <w:tr>
        <w:tc>
          <w:tcPr/>
          <w:p>
            <w:pPr>
              <w:pStyle w:val="Compact"/>
              <w:jc w:val="left"/>
            </w:pPr>
            <w:r>
              <w:t xml:space="preserve">Tiempo de respuesta a consultas ordinarias</w:t>
            </w:r>
          </w:p>
        </w:tc>
        <w:tc>
          <w:tcPr/>
          <w:p>
            <w:pPr>
              <w:pStyle w:val="Compact"/>
              <w:jc w:val="left"/>
            </w:pPr>
            <w:r>
              <w:t>{{ retainer.sla_respuesta_ordinaria | default(‘24 horas hábiles’) }}</w:t>
            </w:r>
          </w:p>
        </w:tc>
      </w:tr>
    </w:tbl>
    <w:p>
      <w:pPr>
        <w:pStyle w:val="BodyText"/>
      </w:pPr>
      <w:r>
        <w:t xml:space="preserve">2.3.</w:t>
      </w:r>
      <w:r>
        <w:t xml:space="preserve"> </w:t>
      </w:r>
      <w:r>
        <w:rPr>
          <w:bCs/>
          <w:b/>
        </w:rPr>
        <w:t xml:space="preserve">Horas no consumidas.</w:t>
      </w:r>
      <w:r>
        <w:t xml:space="preserve"> </w:t>
      </w:r>
      <w:r>
        <w:t xml:space="preserve">Las horas no consumidas en un mes podrán acumularse al mes siguiente hasta un máximo del</w:t>
      </w:r>
      <w:r>
        <w:t xml:space="preserve"> </w:t>
      </w:r>
      <w:r>
        <w:rPr>
          <w:bCs/>
          <w:b/>
        </w:rPr>
        <w:t xml:space="preserve">doble del cupo mensual</w:t>
      </w:r>
      <w:r>
        <w:t xml:space="preserve">. Las horas acumuladas que excedan dicho límite se perderán al final del mes correspondiente.</w:t>
      </w:r>
    </w:p>
    <w:p>
      <w:pPr>
        <w:pStyle w:val="BodyText"/>
      </w:pPr>
      <w:r>
        <w:t xml:space="preserve">2.4.</w:t>
      </w:r>
      <w:r>
        <w:t xml:space="preserve"> </w:t>
      </w:r>
      <w:r>
        <w:rPr>
          <w:bCs/>
          <w:b/>
        </w:rPr>
        <w:t xml:space="preserve">Horas adicionales.</w:t>
      </w:r>
      <w:r>
        <w:t xml:space="preserve"> </w:t>
      </w:r>
      <w:r>
        <w:t xml:space="preserve">Cuando el Cliente requiera servicios que excedan del cupo de horas contratado, el Consultor presentará presupuesto específico previo para las horas adicionales, que serán facturadas a la tarifa horaria de</w:t>
      </w:r>
      <w:r>
        <w:t xml:space="preserve"> </w:t>
      </w:r>
      <w:r>
        <w:rPr>
          <w:bCs/>
          <w:b/>
        </w:rPr>
        <w:t xml:space="preserve">{{ retainer.tarifa_hora_adicional }} €/h + IVA</w:t>
      </w:r>
      <w:r>
        <w:t xml:space="preserve">.</w:t>
      </w:r>
    </w:p>
    <w:p>
      <w:pPr>
        <w:pStyle w:val="BodyText"/>
      </w:pPr>
      <w:r>
        <w:t xml:space="preserve">2.5.</w:t>
      </w:r>
      <w:r>
        <w:t xml:space="preserve"> </w:t>
      </w:r>
      <w:r>
        <w:rPr>
          <w:bCs/>
          <w:b/>
        </w:rPr>
        <w:t xml:space="preserve">Servicios excluidos.</w:t>
      </w:r>
      <w:r>
        <w:t xml:space="preserve"> </w:t>
      </w:r>
      <w:r>
        <w:t xml:space="preserve">Los siguientes servicios no están incluidos en el retainer y, en su caso, serán objeto de presupuesto específico:</w:t>
      </w:r>
    </w:p>
    <w:p>
      <w:pPr>
        <w:numPr>
          <w:ilvl w:val="0"/>
          <w:numId w:val="1002"/>
        </w:numPr>
        <w:pStyle w:val="Compact"/>
      </w:pPr>
      <w:r>
        <w:t xml:space="preserve">Implantación técnica de nuevos controles o tecnologías.</w:t>
      </w:r>
    </w:p>
    <w:p>
      <w:pPr>
        <w:numPr>
          <w:ilvl w:val="0"/>
          <w:numId w:val="1002"/>
        </w:numPr>
        <w:pStyle w:val="Compact"/>
      </w:pPr>
      <w:r>
        <w:t xml:space="preserve">Adecuación a normativas distintas del ENS (incorporación de ISO 27001, ISO 22301, NIS2, DORA, etc.).</w:t>
      </w:r>
    </w:p>
    <w:p>
      <w:pPr>
        <w:numPr>
          <w:ilvl w:val="0"/>
          <w:numId w:val="1002"/>
        </w:numPr>
        <w:pStyle w:val="Compact"/>
      </w:pPr>
      <w:r>
        <w:t xml:space="preserve">Ampliación significativa del alcance del certificado.</w:t>
      </w:r>
    </w:p>
    <w:p>
      <w:pPr>
        <w:numPr>
          <w:ilvl w:val="0"/>
          <w:numId w:val="1002"/>
        </w:numPr>
        <w:pStyle w:val="Compact"/>
      </w:pPr>
      <w:r>
        <w:t xml:space="preserve">Respuesta a incidentes de seguridad graves que requieran dedicación intensiva (más de 8 horas en un solo incidente).</w:t>
      </w:r>
    </w:p>
    <w:p>
      <w:pPr>
        <w:numPr>
          <w:ilvl w:val="0"/>
          <w:numId w:val="1002"/>
        </w:numPr>
        <w:pStyle w:val="Compact"/>
      </w:pPr>
      <w:r>
        <w:t xml:space="preserve">Asesoramiento jurídico especializado.</w:t>
      </w:r>
    </w:p>
    <w:p>
      <w:pPr>
        <w:numPr>
          <w:ilvl w:val="0"/>
          <w:numId w:val="1002"/>
        </w:numPr>
        <w:pStyle w:val="Compact"/>
      </w:pPr>
      <w:r>
        <w:t xml:space="preserve">Auditorías internas extraordinarias fuera del calendario anual ordinario.</w:t>
      </w:r>
    </w:p>
    <w:bookmarkEnd w:id="23"/>
    <w:bookmarkStart w:id="24" w:name="tercera-duración"/>
    <w:p>
      <w:pPr>
        <w:pStyle w:val="Heading3"/>
      </w:pPr>
      <w:r>
        <w:t xml:space="preserve">TERCERA — DURACIÓN</w:t>
      </w:r>
    </w:p>
    <w:p>
      <w:pPr>
        <w:pStyle w:val="FirstParagraph"/>
      </w:pPr>
      <w:r>
        <w:t xml:space="preserve">3.1. El presente contrato tendrá una duración inicial de</w:t>
      </w:r>
      <w:r>
        <w:t xml:space="preserve"> </w:t>
      </w:r>
      <w:r>
        <w:rPr>
          <w:bCs/>
          <w:b/>
        </w:rPr>
        <w:t xml:space="preserve">veinticuatro (24) meses</w:t>
      </w:r>
      <w:r>
        <w:t xml:space="preserve">, contados desde la fecha de su firma, coincidiendo con el período de validez del certificado de conformidad ENS del Cliente.</w:t>
      </w:r>
    </w:p>
    <w:p>
      <w:pPr>
        <w:pStyle w:val="BodyText"/>
      </w:pPr>
      <w:r>
        <w:t xml:space="preserve">3.2.</w:t>
      </w:r>
      <w:r>
        <w:t xml:space="preserve"> </w:t>
      </w:r>
      <w:r>
        <w:rPr>
          <w:bCs/>
          <w:b/>
        </w:rPr>
        <w:t xml:space="preserve">Renovación automática.</w:t>
      </w:r>
      <w:r>
        <w:t xml:space="preserve"> </w:t>
      </w:r>
      <w:r>
        <w:t xml:space="preserve">Al término del período inicial, el contrato se renovará automáticamente por períodos sucesivos de doce (12) meses, salvo que cualquiera de las Partes comunique a la otra su voluntad de no renovar con una antelación mínima de</w:t>
      </w:r>
      <w:r>
        <w:t xml:space="preserve"> </w:t>
      </w:r>
      <w:r>
        <w:rPr>
          <w:bCs/>
          <w:b/>
        </w:rPr>
        <w:t xml:space="preserve">dos (2) meses</w:t>
      </w:r>
      <w:r>
        <w:t xml:space="preserve"> </w:t>
      </w:r>
      <w:r>
        <w:t xml:space="preserve">a la fecha de finalización del período en curso.</w:t>
      </w:r>
    </w:p>
    <w:p>
      <w:pPr>
        <w:pStyle w:val="BodyText"/>
      </w:pPr>
      <w:r>
        <w:t xml:space="preserve">3.3.</w:t>
      </w:r>
      <w:r>
        <w:t xml:space="preserve"> </w:t>
      </w:r>
      <w:r>
        <w:rPr>
          <w:bCs/>
          <w:b/>
        </w:rPr>
        <w:t xml:space="preserve">Resolución anticipada.</w:t>
      </w:r>
      <w:r>
        <w:t xml:space="preserve"> </w:t>
      </w:r>
      <w:r>
        <w:t xml:space="preserve">Cualquiera de las Partes podrá resolver anticipadamente el presente contrato preavisando por escrito con una antelación mínima de</w:t>
      </w:r>
      <w:r>
        <w:t xml:space="preserve"> </w:t>
      </w:r>
      <w:r>
        <w:rPr>
          <w:bCs/>
          <w:b/>
        </w:rPr>
        <w:t xml:space="preserve">tres (3) meses</w:t>
      </w:r>
      <w:r>
        <w:t xml:space="preserve">. La parte que resuelva anticipadamente sin causa justificada no estará obligada a indemnización, pero deberá abonar los servicios efectivamente prestados hasta la fecha de la resolución.</w:t>
      </w:r>
    </w:p>
    <w:bookmarkEnd w:id="24"/>
    <w:bookmarkStart w:id="25" w:name="cuarta-contraprestación-económica"/>
    <w:p>
      <w:pPr>
        <w:pStyle w:val="Heading3"/>
      </w:pPr>
      <w:r>
        <w:t xml:space="preserve">CUARTA — CONTRAPRESTACIÓN ECONÓMICA</w:t>
      </w:r>
    </w:p>
    <w:p>
      <w:pPr>
        <w:pStyle w:val="FirstParagraph"/>
      </w:pPr>
      <w:r>
        <w:t xml:space="preserve">4.1.</w:t>
      </w:r>
      <w:r>
        <w:t xml:space="preserve"> </w:t>
      </w:r>
      <w:r>
        <w:rPr>
          <w:bCs/>
          <w:b/>
        </w:rPr>
        <w:t xml:space="preserve">Cuota mensual.</w:t>
      </w:r>
      <w:r>
        <w:t xml:space="preserve"> </w:t>
      </w:r>
      <w:r>
        <w:t xml:space="preserve">El Cliente abonará al Consultor en concepto de cuota mensual de retainer la cantidad de</w:t>
      </w:r>
      <w:r>
        <w:t xml:space="preserve"> </w:t>
      </w:r>
      <w:r>
        <w:rPr>
          <w:bCs/>
          <w:b/>
        </w:rPr>
        <w:t xml:space="preserve">{{ retainer.cuota_mensual_eur }} euros más el IVA aplicable</w:t>
      </w:r>
      <w:r>
        <w:t xml:space="preserve">.</w:t>
      </w:r>
    </w:p>
    <w:p>
      <w:pPr>
        <w:pStyle w:val="BodyText"/>
      </w:pPr>
      <w:r>
        <w:t xml:space="preserve">4.2.</w:t>
      </w:r>
      <w:r>
        <w:t xml:space="preserve"> </w:t>
      </w:r>
      <w:r>
        <w:rPr>
          <w:bCs/>
          <w:b/>
        </w:rPr>
        <w:t xml:space="preserve">Facturación.</w:t>
      </w:r>
      <w:r>
        <w:t xml:space="preserve"> </w:t>
      </w:r>
      <w:r>
        <w:t xml:space="preserve">La cuota mensual se facturará por anticipado dentro de los cinco primeros días naturales de cada mes y deberá ser abonada en el plazo máximo de quince días naturales desde la fecha de emisión.</w:t>
      </w:r>
    </w:p>
    <w:p>
      <w:pPr>
        <w:pStyle w:val="BodyText"/>
      </w:pPr>
      <w:r>
        <w:t xml:space="preserve">4.3.</w:t>
      </w:r>
      <w:r>
        <w:t xml:space="preserve"> </w:t>
      </w:r>
      <w:r>
        <w:rPr>
          <w:bCs/>
          <w:b/>
        </w:rPr>
        <w:t xml:space="preserve">Revisión anual.</w:t>
      </w:r>
      <w:r>
        <w:t xml:space="preserve"> </w:t>
      </w:r>
      <w:r>
        <w:t xml:space="preserve">La cuota mensual será revisada anualmente conforme a la variación del Índice de Precios al Consumo publicado por el Instituto Nacional de Estadística para el período anual anterior, sin que en ningún caso pueda producirse una revisión a la baja.</w:t>
      </w:r>
    </w:p>
    <w:p>
      <w:pPr>
        <w:pStyle w:val="BodyText"/>
      </w:pPr>
      <w:r>
        <w:t xml:space="preserve">4.4.</w:t>
      </w:r>
      <w:r>
        <w:t xml:space="preserve"> </w:t>
      </w:r>
      <w:r>
        <w:rPr>
          <w:bCs/>
          <w:b/>
        </w:rPr>
        <w:t xml:space="preserve">Demora en el pago.</w:t>
      </w:r>
      <w:r>
        <w:t xml:space="preserve"> </w:t>
      </w:r>
      <w:r>
        <w:t xml:space="preserve">El retraso en el pago de las cuotas mensuales devengará automáticamente los intereses de demora previstos en la Ley 3/2004, y facultará al Consultor a suspender la prestación de los servicios previo aviso de cinco días hábiles.</w:t>
      </w:r>
    </w:p>
    <w:bookmarkEnd w:id="25"/>
    <w:bookmarkStart w:id="26" w:name="quinta-remisión-al-contrato-principal"/>
    <w:p>
      <w:pPr>
        <w:pStyle w:val="Heading3"/>
      </w:pPr>
      <w:r>
        <w:t xml:space="preserve">QUINTA — REMISIÓN AL CONTRATO PRINCIPAL</w:t>
      </w:r>
    </w:p>
    <w:p>
      <w:pPr>
        <w:pStyle w:val="FirstParagraph"/>
      </w:pPr>
      <w:r>
        <w:t xml:space="preserve">5.1. Las cláusulas del Contrato C-001 firmado entre las Partes con fecha {{ contrato.fecha_contrato_anterior }} relativas a:</w:t>
      </w:r>
    </w:p>
    <w:p>
      <w:pPr>
        <w:numPr>
          <w:ilvl w:val="0"/>
          <w:numId w:val="1003"/>
        </w:numPr>
        <w:pStyle w:val="Compact"/>
      </w:pPr>
      <w:r>
        <w:t xml:space="preserve">Confidencialidad</w:t>
      </w:r>
    </w:p>
    <w:p>
      <w:pPr>
        <w:numPr>
          <w:ilvl w:val="0"/>
          <w:numId w:val="1003"/>
        </w:numPr>
        <w:pStyle w:val="Compact"/>
      </w:pPr>
      <w:r>
        <w:t xml:space="preserve">Protección de datos personales (incluido el Anexo II del DPA)</w:t>
      </w:r>
    </w:p>
    <w:p>
      <w:pPr>
        <w:numPr>
          <w:ilvl w:val="0"/>
          <w:numId w:val="1003"/>
        </w:numPr>
        <w:pStyle w:val="Compact"/>
      </w:pPr>
      <w:r>
        <w:t xml:space="preserve">Propiedad intelectual e industrial</w:t>
      </w:r>
    </w:p>
    <w:p>
      <w:pPr>
        <w:numPr>
          <w:ilvl w:val="0"/>
          <w:numId w:val="1003"/>
        </w:numPr>
        <w:pStyle w:val="Compact"/>
      </w:pPr>
      <w:r>
        <w:t xml:space="preserve">Limitación de responsabilidad</w:t>
      </w:r>
    </w:p>
    <w:p>
      <w:pPr>
        <w:numPr>
          <w:ilvl w:val="0"/>
          <w:numId w:val="1003"/>
        </w:numPr>
        <w:pStyle w:val="Compact"/>
      </w:pPr>
      <w:r>
        <w:t xml:space="preserve">Incompatibilidad auditor-consultor</w:t>
      </w:r>
    </w:p>
    <w:p>
      <w:pPr>
        <w:numPr>
          <w:ilvl w:val="0"/>
          <w:numId w:val="1003"/>
        </w:numPr>
        <w:pStyle w:val="Compact"/>
      </w:pPr>
      <w:r>
        <w:t xml:space="preserve">Notificaciones</w:t>
      </w:r>
    </w:p>
    <w:p>
      <w:pPr>
        <w:numPr>
          <w:ilvl w:val="0"/>
          <w:numId w:val="1003"/>
        </w:numPr>
        <w:pStyle w:val="Compact"/>
      </w:pPr>
      <w:r>
        <w:t xml:space="preserve">Legislación aplicable y jurisdicción</w:t>
      </w:r>
    </w:p>
    <w:p>
      <w:pPr>
        <w:pStyle w:val="FirstParagraph"/>
      </w:pPr>
      <w:r>
        <w:t xml:space="preserve">se aplicarán íntegramente al presente contrato y se entienden incorporadas por referencia, salvo que en el presente contrato se establezca expresamente lo contrario.</w:t>
      </w:r>
    </w:p>
    <w:bookmarkEnd w:id="26"/>
    <w:bookmarkStart w:id="27" w:name="X1bab2325f8e434a7d3ae1ff146851b5ec8a20a2"/>
    <w:p>
      <w:pPr>
        <w:pStyle w:val="Heading3"/>
      </w:pPr>
      <w:r>
        <w:t xml:space="preserve">SEXTA — COMPROMISO REFORZADO ANTE LA AUDITORÍA DE RENOVACIÓN</w:t>
      </w:r>
    </w:p>
    <w:p>
      <w:pPr>
        <w:pStyle w:val="FirstParagraph"/>
      </w:pPr>
      <w:r>
        <w:t xml:space="preserve">6.1. El Consultor se compromete a aplicar toda la diligencia profesional necesaria durante los tres meses anteriores a la auditoría de renovación para asegurar que el Cliente llega a dicha auditoría en condiciones óptimas para superarla.</w:t>
      </w:r>
    </w:p>
    <w:p>
      <w:pPr>
        <w:pStyle w:val="BodyText"/>
      </w:pPr>
      <w:r>
        <w:t xml:space="preserve">6.2. Si la auditoría de renovación detectara no conformidades imputables exclusivamente al Consultor por defectos en el mantenimiento del SGSI durante el periodo del retainer, el Consultor se obliga a colaborar gratuitamente en su subsanación, dentro del cupo de horas del propio retainer, hasta su completa resolución.</w:t>
      </w:r>
    </w:p>
    <w:p>
      <w:r>
        <w:pict>
          <v:rect style="width:0;height:1.5pt" o:hralign="center" o:hrstd="t" o:hr="t"/>
        </w:pict>
      </w:r>
    </w:p>
    <w:p>
      <w:pPr>
        <w:pStyle w:val="FirstParagraph"/>
      </w:pPr>
      <w:r>
        <w:t xml:space="preserve">Y para que así conste, las Partes firman el presente contrato en dos ejemplares y a un solo efecto, en el lugar y fecha indicados al principio.</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Por FULKRO</w:t>
            </w:r>
          </w:p>
        </w:tc>
        <w:tc>
          <w:tcPr/>
          <w:p>
            <w:pPr>
              <w:pStyle w:val="Compact"/>
              <w:jc w:val="left"/>
            </w:pPr>
            <w:r>
              <w:t xml:space="preserve">Por {{ cliente.razon_social }}</w:t>
            </w:r>
          </w:p>
        </w:tc>
      </w:tr>
      <w:tr>
        <w:tc>
          <w:tcPr/>
          <w:p>
            <w:pPr>
              <w:pStyle w:val="Compact"/>
            </w:pPr>
          </w:p>
        </w:tc>
        <w:tc>
          <w:tcPr/>
          <w:p>
            <w:pPr>
              <w:pStyle w:val="Compact"/>
            </w:pPr>
          </w:p>
        </w:tc>
      </w:tr>
      <w:tr>
        <w:tc>
          <w:tcPr/>
          <w:p>
            <w:pPr>
              <w:pStyle w:val="Compact"/>
              <w:jc w:val="left"/>
            </w:pPr>
            <w:r>
              <w:t xml:space="preserve">Fdo.: D. Marcos Mata García</w:t>
            </w:r>
          </w:p>
        </w:tc>
        <w:tc>
          <w:tcPr/>
          <w:p>
            <w:pPr>
              <w:pStyle w:val="Compact"/>
              <w:jc w:val="left"/>
            </w:pPr>
            <w:r>
              <w:t xml:space="preserve">Fdo.: D./Dña. {{ cliente.firmante.nombre_completo }}</w:t>
            </w:r>
          </w:p>
        </w:tc>
      </w:tr>
    </w:tbl>
    <w:p>
      <w:r>
        <w:pict>
          <v:rect style="width:0;height:1.5pt" o:hralign="center" o:hrstd="t" o:hr="t"/>
        </w:pict>
      </w:r>
    </w:p>
    <w:bookmarkEnd w:id="27"/>
    <w:bookmarkEnd w:id="28"/>
    <w:bookmarkStart w:id="29" w:name="anexos"/>
    <w:p>
      <w:pPr>
        <w:pStyle w:val="Heading2"/>
      </w:pPr>
      <w:r>
        <w:t xml:space="preserve">ANEXOS</w:t>
      </w:r>
    </w:p>
    <w:p>
      <w:pPr>
        <w:numPr>
          <w:ilvl w:val="0"/>
          <w:numId w:val="1004"/>
        </w:numPr>
        <w:pStyle w:val="Compact"/>
      </w:pPr>
      <w:r>
        <w:rPr>
          <w:bCs/>
          <w:b/>
        </w:rPr>
        <w:t xml:space="preserve">Anexo I:</w:t>
      </w:r>
      <w:r>
        <w:t xml:space="preserve"> </w:t>
      </w:r>
      <w:r>
        <w:t xml:space="preserve">Propuesta P-001-R (oferta de retainer)</w:t>
      </w:r>
    </w:p>
    <w:p>
      <w:pPr>
        <w:numPr>
          <w:ilvl w:val="0"/>
          <w:numId w:val="1004"/>
        </w:numPr>
        <w:pStyle w:val="Compact"/>
      </w:pPr>
      <w:r>
        <w:rPr>
          <w:bCs/>
          <w:b/>
        </w:rPr>
        <w:t xml:space="preserve">Anexo II:</w:t>
      </w:r>
      <w:r>
        <w:t xml:space="preserve"> </w:t>
      </w:r>
      <w:r>
        <w:t xml:space="preserve">Calendario anual de actividades de mantenimiento</w:t>
      </w:r>
    </w:p>
    <w:bookmarkEnd w:id="29"/>
    <w:bookmarkEnd w:id="30"/>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2026-04-14T18:00:37Z</dcterms:created>
  <dcterms:modified xsi:type="dcterms:W3CDTF">2026-04-14T18:00:37Z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ificacion">
    <vt:lpwstr>CONFIDENCIAL — Cliente</vt:lpwstr>
  </property>
  <property fmtid="{D5CDD505-2E9C-101B-9397-08002B2CF9AE}" pid="3" name="codigo_documento">
    <vt:lpwstr>C-003</vt:lpwstr>
  </property>
  <property fmtid="{D5CDD505-2E9C-101B-9397-08002B2CF9AE}" pid="4" name="fecha_firma">
    <vt:lpwstr>{{ contrato.fecha_firma }}</vt:lpwstr>
  </property>
  <property fmtid="{D5CDD505-2E9C-101B-9397-08002B2CF9AE}" pid="5" name="titulo">
    <vt:lpwstr>Contrato de Servicios de Mantenimiento del SGSI ENS (Retainer)</vt:lpwstr>
  </property>
  <property fmtid="{D5CDD505-2E9C-101B-9397-08002B2CF9AE}" pid="6" name="version">
    <vt:lpwstr>{{ contrato.version JINJAPIPE default(‘1.0’) }}</vt:lpwstr>
  </property>
</Properties>
</file>