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f5a3bcbc63ec82a0fc0f5154e8a3cbb6b2eb355"/>
    <w:p>
      <w:pPr>
        <w:pStyle w:val="Heading1"/>
      </w:pPr>
      <w:r>
        <w:t xml:space="preserve">INFORME DE DIAGNÓSTICO INICIAL · GAP ANALYSIS FRENTE AL ESQUEMA NACIONAL DE SEGURIDAD · {{ cliente.razon_social | upper }}</w:t>
      </w:r>
    </w:p>
    <w:p>
      <w:pPr>
        <w:pStyle w:val="FirstParagraph"/>
      </w:pPr>
      <w:r>
        <w:rPr>
          <w:bCs/>
          <w:b/>
        </w:rPr>
        <w:t xml:space="preserve">Documento E-090 — Versión {{ proyecto.version_actual if proyecto.version_actual else '1.0'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{% set diag = diagnostico if diagnostico else {} %}</w:t>
      </w:r>
      <w:r>
        <w:t xml:space="preserve"> </w:t>
      </w:r>
      <w:r>
        <w:t xml:space="preserve">{% set fecha = diag.fecha_realizacion if diag and diag.fecha_realizacion else '[fecha]' %}</w:t>
      </w:r>
      <w:r>
        <w:t xml:space="preserve"> </w:t>
      </w:r>
      <w:r>
        <w:t xml:space="preserve">{% set metodologia = diag.metodologia if diag and diag.metodologia else 'Auto-evaluación RD 311/2022 Anexo II · 73 medidas' %}</w:t>
      </w:r>
      <w:r>
        <w:t xml:space="preserve"> </w:t>
      </w:r>
      <w:r>
        <w:t xml:space="preserve">{% set madurez = diag.nivel_madurez_actual if diag and diag.nivel_madurez_actual else 'L2 · Definido parcialmente' %}</w:t>
      </w:r>
      <w:r>
        <w:t xml:space="preserve"> </w:t>
      </w:r>
      <w:r>
        <w:t xml:space="preserve">{% set tiene_hallazgos = diag.hallazgos_gap and diag.hallazgos_gap | length &gt; 0 %}</w:t>
      </w:r>
      <w:r>
        <w:t xml:space="preserve"> </w:t>
      </w:r>
      <w:r>
        <w:t xml:space="preserve">{% set tiene_recom = diag.recomendaciones and diag.recomendaciones | length &gt; 0 %}</w:t>
      </w:r>
    </w:p>
    <w:bookmarkStart w:id="20" w:name="X9895ad7d6233bb46f1f1ab0c9c1393c5bec2388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El presente informe documenta el</w:t>
      </w:r>
      <w:r>
        <w:t xml:space="preserve"> </w:t>
      </w:r>
      <w:r>
        <w:rPr>
          <w:bCs/>
          <w:b/>
        </w:rPr>
        <w:t xml:space="preserve">diagnóstico inicial</w:t>
      </w:r>
      <w:r>
        <w:t xml:space="preserve"> </w:t>
      </w:r>
      <w:r>
        <w:t xml:space="preserve">del estado de cumplimiento de</w:t>
      </w:r>
      <w:r>
        <w:t xml:space="preserve"> </w:t>
      </w:r>
      <w:r>
        <w:rPr>
          <w:bCs/>
          <w:b/>
        </w:rPr>
        <w:t xml:space="preserve">{{ cliente.razon_social }}</w:t>
      </w:r>
      <w:r>
        <w:t xml:space="preserve"> </w:t>
      </w:r>
      <w:r>
        <w:t xml:space="preserve">frente al Esquema Nacional de Seguridad (ENS), realizado como paso previo a la elaboración del Plan de Adecuación (E-050) y de la Declaración de Aplicabilidad (E-040).</w:t>
      </w:r>
    </w:p>
    <w:p>
      <w:pPr>
        <w:pStyle w:val="BodyText"/>
      </w:pPr>
      <w:r>
        <w:t xml:space="preserve">El diagnóstico identifica los</w:t>
      </w:r>
      <w:r>
        <w:t xml:space="preserve"> </w:t>
      </w:r>
      <w:r>
        <w:rPr>
          <w:bCs/>
          <w:b/>
        </w:rPr>
        <w:t xml:space="preserve">gaps de cumplimiento</w:t>
      </w:r>
      <w:r>
        <w:t xml:space="preserve"> </w:t>
      </w:r>
      <w:r>
        <w:t xml:space="preserve">entre el estado actual y el estado objetivo definido por el Anexo II del RD 311/2022, atendiendo a la categoría</w:t>
      </w:r>
      <w:r>
        <w:t xml:space="preserve"> </w:t>
      </w:r>
      <w:r>
        <w:rPr>
          <w:bCs/>
          <w:b/>
        </w:rPr>
        <w:t xml:space="preserve">{{ proyecto.categoria_ens if proyecto.categoria_ens else 'MEDIA' }}</w:t>
      </w:r>
      <w:r>
        <w:t xml:space="preserve"> </w:t>
      </w:r>
      <w:r>
        <w:t xml:space="preserve">previamente aprobada (E-012).</w:t>
      </w:r>
    </w:p>
    <w:bookmarkEnd w:id="20"/>
    <w:bookmarkStart w:id="21" w:name="X8c49890cab2394ad6fc610767a1938515fcd0ca"/>
    <w:p>
      <w:pPr>
        <w:pStyle w:val="Heading2"/>
      </w:pPr>
      <w:r>
        <w:t xml:space="preserve">2. ALCANCE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Entidad evaluada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cliente.razon_social }}</w:t>
            </w:r>
            <w:r>
              <w:t xml:space="preserve"> </w:t>
            </w:r>
            <w:r>
              <w:t xml:space="preserve">· NIF {{ cliente.nif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ENS objetivo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proyecto.categoria_ens if proyecto.categoria_ens else 'MEDIA'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realización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fecha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Metodología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metodologia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Marco evaluativo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311/2022 Anexo II + CCN-STIC 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documental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Anterior a Plan de Adecuación (E-050)</w:t>
            </w:r>
          </w:p>
        </w:tc>
      </w:tr>
    </w:tbl>
    <w:bookmarkEnd w:id="21"/>
    <w:bookmarkStart w:id="22" w:name="Xbac44d5c25c0711da4c44d928526dc3afac2073"/>
    <w:p>
      <w:pPr>
        <w:pStyle w:val="Heading2"/>
      </w:pPr>
      <w:r>
        <w:t xml:space="preserve">3. METODOLOGÍA</w:t>
      </w:r>
    </w:p>
    <w:p>
      <w:pPr>
        <w:pStyle w:val="FirstParagraph"/>
      </w:pPr>
      <w:r>
        <w:t xml:space="preserve">El diagnóstico se ha realizado mediante revisión sistemática de las</w:t>
      </w:r>
      <w:r>
        <w:t xml:space="preserve"> </w:t>
      </w:r>
      <w:r>
        <w:rPr>
          <w:bCs/>
          <w:b/>
        </w:rPr>
        <w:t xml:space="preserve">73 medidas</w:t>
      </w:r>
      <w:r>
        <w:t xml:space="preserve"> </w:t>
      </w:r>
      <w:r>
        <w:t xml:space="preserve">del Anexo II del RD 311/2022, distribuidas en: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Nº de medidas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Marco organizativo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org.*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Marco operacional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op.*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Medidas de protección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mp.*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Para cada medida se ha aplicado el siguiente criterio de valoración: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L0 · No implantado:</w:t>
      </w:r>
      <w:r>
        <w:t xml:space="preserve"> </w:t>
      </w:r>
      <w:r>
        <w:t xml:space="preserve">medida ausente o desconocida en la organización.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L1 · Inicial:</w:t>
      </w:r>
      <w:r>
        <w:t xml:space="preserve"> </w:t>
      </w:r>
      <w:r>
        <w:t xml:space="preserve">medida implantada de forma informal o reactiva.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L2 · Definido parcialmente:</w:t>
      </w:r>
      <w:r>
        <w:t xml:space="preserve"> </w:t>
      </w:r>
      <w:r>
        <w:t xml:space="preserve">medida documentada parcialmente · ejecución no consistente.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L3 · Definido:</w:t>
      </w:r>
      <w:r>
        <w:t xml:space="preserve"> </w:t>
      </w:r>
      <w:r>
        <w:t xml:space="preserve">medida documentada y aplicada consistentemente.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L4 · Gestionado:</w:t>
      </w:r>
      <w:r>
        <w:t xml:space="preserve"> </w:t>
      </w:r>
      <w:r>
        <w:t xml:space="preserve">medida medida y revisada periódicamente.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L5 · Optimizado:</w:t>
      </w:r>
      <w:r>
        <w:t xml:space="preserve"> </w:t>
      </w:r>
      <w:r>
        <w:t xml:space="preserve">medida revisada con mejora continua basada en métricas.</w:t>
      </w:r>
    </w:p>
    <w:bookmarkEnd w:id="22"/>
    <w:bookmarkStart w:id="23" w:name="X5ff2610e2a767ee7b6fc98ebaa4dc247e58079e"/>
    <w:p>
      <w:pPr>
        <w:pStyle w:val="Heading2"/>
      </w:pPr>
      <w:r>
        <w:t xml:space="preserve">4. NIVEL DE MADUREZ ACTUAL ESTIMADO</w:t>
      </w:r>
    </w:p>
    <w:p>
      <w:pPr>
        <w:pStyle w:val="BlockText"/>
      </w:pPr>
      <w:r>
        <w:rPr>
          <w:bCs/>
          <w:b/>
        </w:rPr>
        <w:t xml:space="preserve">Nivel de madurez global: {{ madurez }}</w:t>
      </w:r>
    </w:p>
    <w:p>
      <w:pPr>
        <w:pStyle w:val="FirstParagraph"/>
      </w:pPr>
      <w:r>
        <w:t xml:space="preserve">Este nivel representa la media ponderada de las 73 medidas evaluadas, asumiendo el peso doble de las medidas operacionales y de protección con respecto a las organizativas.</w:t>
      </w:r>
    </w:p>
    <w:bookmarkEnd w:id="23"/>
    <w:bookmarkStart w:id="24" w:name="X6249b3ff46906c8d134ebcb2a5c7b4ff68b3a4a"/>
    <w:p>
      <w:pPr>
        <w:pStyle w:val="Heading2"/>
      </w:pPr>
      <w:r>
        <w:t xml:space="preserve">5. HALLAZGOS GAP CRÍTICOS POR FAMILIA</w:t>
      </w:r>
    </w:p>
    <w:p>
      <w:pPr>
        <w:pStyle w:val="FirstParagraph"/>
      </w:pPr>
      <w:r>
        <w:t xml:space="preserve">{% if tiene_hallazgos %}</w:t>
      </w:r>
      <w:r>
        <w:t xml:space="preserve"> </w:t>
      </w:r>
      <w:r>
        <w:t xml:space="preserve">| Familia | Nivel del hallazgo | Descripción del gap |</w:t>
      </w:r>
      <w:r>
        <w:t xml:space="preserve"> </w:t>
      </w:r>
      <w:r>
        <w:t xml:space="preserve">|---------|--------------------|---------------------|</w:t>
      </w:r>
      <w:r>
        <w:t xml:space="preserve"> </w:t>
      </w:r>
      <w:r>
        <w:t xml:space="preserve">{% for h in diag.hallazgos_gap %}</w:t>
      </w:r>
      <w:r>
        <w:t xml:space="preserve"> </w:t>
      </w:r>
      <w:r>
        <w:t xml:space="preserve">| {{ h.familia }} |</w:t>
      </w:r>
      <w:r>
        <w:t xml:space="preserve"> </w:t>
      </w:r>
      <w:r>
        <w:rPr>
          <w:bCs/>
          <w:b/>
        </w:rPr>
        <w:t xml:space="preserve">{{ h.nivel }}</w:t>
      </w:r>
      <w:r>
        <w:t xml:space="preserve"> </w:t>
      </w:r>
      <w:r>
        <w:t xml:space="preserve">| {{ h.descripcion }} |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han registrado hallazgos significativos en la presente revisión.</w:t>
      </w:r>
      <w:r>
        <w:t xml:space="preserve"> </w:t>
      </w:r>
      <w:r>
        <w:t xml:space="preserve">{% endif %}</w:t>
      </w:r>
    </w:p>
    <w:bookmarkEnd w:id="24"/>
    <w:bookmarkStart w:id="28" w:name="Xdfcaca023ba39747e7bcdbbcf9589bb83feb143"/>
    <w:p>
      <w:pPr>
        <w:pStyle w:val="Heading2"/>
      </w:pPr>
      <w:r>
        <w:t xml:space="preserve">6. ANÁLISIS POR FAMILIA</w:t>
      </w:r>
    </w:p>
    <w:bookmarkStart w:id="25" w:name="X95fd5445360f17b2717dc9db7282c53d6ec638e"/>
    <w:p>
      <w:pPr>
        <w:pStyle w:val="Heading3"/>
      </w:pPr>
      <w:r>
        <w:t xml:space="preserve">6.1 Marco organizativo (4 medidas org.*)</w:t>
      </w:r>
    </w:p>
    <w:p>
      <w:pPr>
        <w:pStyle w:val="FirstParagraph"/>
      </w:pPr>
      <w:r>
        <w:t xml:space="preserve">Cobertura aparente: medidas relativas a política de seguridad, normativa interna, procedimientos de seguridad y procesos de autorización. Estas medidas requieren formalización documental y aprobación por órgano competente (Comité de Seguridad de la Información, ya constituido conforme a E-003).</w:t>
      </w:r>
    </w:p>
    <w:bookmarkEnd w:id="25"/>
    <w:bookmarkStart w:id="26" w:name="X2e0ec066d5bf1faaae78ebf1f1d751c5ba0b243"/>
    <w:p>
      <w:pPr>
        <w:pStyle w:val="Heading3"/>
      </w:pPr>
      <w:r>
        <w:t xml:space="preserve">6.2 Marco operacional (33 medidas op.*)</w:t>
      </w:r>
    </w:p>
    <w:p>
      <w:pPr>
        <w:pStyle w:val="FirstParagraph"/>
      </w:pPr>
      <w:r>
        <w:t xml:space="preserve">Cobertura aparente: medidas relativas a planificación de la seguridad, control de acceso, explotación, recursos externos, continuidad y monitorización. Las áreas con mayor gap se concentran típicamente en monitorización proactiva, segregación de funciones y gestión de cambios.</w:t>
      </w:r>
    </w:p>
    <w:bookmarkEnd w:id="26"/>
    <w:bookmarkStart w:id="27" w:name="Xf73e6e28d389a9d6b91c00b7594a8d2f028af70"/>
    <w:p>
      <w:pPr>
        <w:pStyle w:val="Heading3"/>
      </w:pPr>
      <w:r>
        <w:t xml:space="preserve">6.3 Medidas de protección (36 medidas mp.*)</w:t>
      </w:r>
    </w:p>
    <w:p>
      <w:pPr>
        <w:pStyle w:val="FirstParagraph"/>
      </w:pPr>
      <w:r>
        <w:t xml:space="preserve">Cobertura aparente: medidas técnicas para proteger instalaciones, personal, equipamiento, comunicaciones, soportes, aplicaciones, información y servicios. Las áreas con mayor gap se concentran típicamente en cifrado homogéneo, gestión del ciclo de vida de la información y resiliencia de servicios.</w:t>
      </w:r>
    </w:p>
    <w:bookmarkEnd w:id="27"/>
    <w:bookmarkEnd w:id="28"/>
    <w:bookmarkStart w:id="29" w:name="X4d196909fbf5a8bf3879708e38b2758bd5e574f"/>
    <w:p>
      <w:pPr>
        <w:pStyle w:val="Heading2"/>
      </w:pPr>
      <w:r>
        <w:t xml:space="preserve">7. RECOMENDACIONES PRIORIZADAS</w:t>
      </w:r>
    </w:p>
    <w:p>
      <w:pPr>
        <w:pStyle w:val="FirstParagraph"/>
      </w:pPr>
      <w:r>
        <w:t xml:space="preserve">{% if tiene_recom %}</w:t>
      </w:r>
      <w:r>
        <w:t xml:space="preserve"> </w:t>
      </w:r>
      <w:r>
        <w:t xml:space="preserve">A continuación se relacionan las recomendaciones de máxima prioridad para la elaboración del Plan de Adecuación (E-050):</w:t>
      </w:r>
    </w:p>
    <w:p>
      <w:pPr>
        <w:pStyle w:val="BodyText"/>
      </w:pPr>
      <w:r>
        <w:t xml:space="preserve">{% for r in diag.recomendaciones %}</w:t>
      </w:r>
    </w:p>
    <w:p>
      <w:pPr>
        <w:numPr>
          <w:ilvl w:val="0"/>
          <w:numId w:val="1002"/>
        </w:numPr>
        <w:pStyle w:val="Compact"/>
      </w:pPr>
      <w:r>
        <w:t xml:space="preserve">{{ r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Las recomendaciones se desarrollarán en el documento Plan de Adecuación (E-050).</w:t>
      </w:r>
      <w:r>
        <w:t xml:space="preserve"> </w:t>
      </w:r>
      <w:r>
        <w:t xml:space="preserve">{% endif %}</w:t>
      </w:r>
    </w:p>
    <w:bookmarkEnd w:id="29"/>
    <w:bookmarkStart w:id="30" w:name="Xbf2b7fc9803913420bba8cc7388a49048c561c5"/>
    <w:p>
      <w:pPr>
        <w:pStyle w:val="Heading2"/>
      </w:pPr>
      <w:r>
        <w:t xml:space="preserve">8. CONCLUSIONES Y SIGUIENTES PASOS</w:t>
      </w:r>
    </w:p>
    <w:p>
      <w:pPr>
        <w:pStyle w:val="FirstParagraph"/>
      </w:pPr>
      <w:r>
        <w:t xml:space="preserve">a) Las medidas del Anexo II del RD 311/2022 presentan</w:t>
      </w:r>
      <w:r>
        <w:t xml:space="preserve"> </w:t>
      </w:r>
      <w:r>
        <w:rPr>
          <w:bCs/>
          <w:b/>
        </w:rPr>
        <w:t xml:space="preserve">gaps documentables</w:t>
      </w:r>
      <w:r>
        <w:t xml:space="preserve"> </w:t>
      </w:r>
      <w:r>
        <w:t xml:space="preserve">que requieren intervención formalizada mediante un</w:t>
      </w:r>
      <w:r>
        <w:t xml:space="preserve"> </w:t>
      </w:r>
      <w:r>
        <w:rPr>
          <w:bCs/>
          <w:b/>
        </w:rPr>
        <w:t xml:space="preserve">Plan de Adecuación</w:t>
      </w:r>
      <w:r>
        <w:t xml:space="preserve"> </w:t>
      </w:r>
      <w:r>
        <w:t xml:space="preserve">(E-050).</w:t>
      </w:r>
    </w:p>
    <w:p>
      <w:pPr>
        <w:pStyle w:val="BodyText"/>
      </w:pPr>
      <w:r>
        <w:t xml:space="preserve">b) La aprobación de la Declaración de Aplicabilidad (E-040) y del Plan de Adecuación (E-050) procederá conforme al cronograma definido en el acta de aprobación de la categorización (E-012, sección 7.b).</w:t>
      </w:r>
    </w:p>
    <w:p>
      <w:pPr>
        <w:pStyle w:val="BodyText"/>
      </w:pPr>
      <w:r>
        <w:t xml:space="preserve">c) Se recomienda al</w:t>
      </w:r>
      <w:r>
        <w:t xml:space="preserve"> </w:t>
      </w:r>
      <w:r>
        <w:rPr>
          <w:bCs/>
          <w:b/>
        </w:rPr>
        <w:t xml:space="preserve">Responsable de la Seguridad</w:t>
      </w:r>
      <w:r>
        <w:t xml:space="preserve"> </w:t>
      </w:r>
      <w:r>
        <w:t xml:space="preserve">elevar al Comité de Seguridad de la Información los siguientes documentos en orden: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Declaración de Aplicabilidad (E-040)</w:t>
      </w:r>
      <w:r>
        <w:t xml:space="preserve"> </w:t>
      </w:r>
      <w:r>
        <w:t xml:space="preserve">– plazo orientativo: 30 días.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Plan de Adecuación (E-050)</w:t>
      </w:r>
      <w:r>
        <w:t xml:space="preserve"> </w:t>
      </w:r>
      <w:r>
        <w:t xml:space="preserve">– plazo orientativo: 90 días.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Análisis de Riesgos (E-400)</w:t>
      </w:r>
      <w:r>
        <w:t xml:space="preserve"> </w:t>
      </w:r>
      <w:r>
        <w:t xml:space="preserve">– plazo orientativo: 120 días.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Auditoría interna previa</w:t>
      </w:r>
      <w:r>
        <w:t xml:space="preserve"> </w:t>
      </w:r>
      <w:r>
        <w:t xml:space="preserve">– plazo orientativo: 180 días.</w:t>
      </w:r>
    </w:p>
    <w:p>
      <w:pPr>
        <w:pStyle w:val="FirstParagraph"/>
      </w:pPr>
      <w:r>
        <w:t xml:space="preserve">d) El presente diagnóstico será</w:t>
      </w:r>
      <w:r>
        <w:t xml:space="preserve"> </w:t>
      </w:r>
      <w:r>
        <w:rPr>
          <w:bCs/>
          <w:b/>
        </w:rPr>
        <w:t xml:space="preserve">revisado</w:t>
      </w:r>
      <w:r>
        <w:t xml:space="preserve"> </w:t>
      </w:r>
      <w:r>
        <w:t xml:space="preserve">cuando se hayan implantado las medidas correctivas planificadas, y como mínimo</w:t>
      </w:r>
      <w:r>
        <w:t xml:space="preserve"> </w:t>
      </w:r>
      <w:r>
        <w:rPr>
          <w:bCs/>
          <w:b/>
        </w:rPr>
        <w:t xml:space="preserve">anualmente</w:t>
      </w:r>
      <w:r>
        <w:t xml:space="preserve"> </w:t>
      </w:r>
      <w:r>
        <w:t xml:space="preserve">coincidiendo con la revisión ordinaria del SGSI.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Elaborado por:</w:t>
      </w:r>
      <w:r>
        <w:t xml:space="preserve"> </w:t>
      </w:r>
      <w:r>
        <w:t xml:space="preserve">{{ responsables.responsable_seguridad.nombre if responsables.responsable_seguridad else '[Responsable de Seguridad]' }} · {{ responsables.responsable_seguridad.cargo if responsables.responsable_seguridad else 'CISO' }}</w:t>
      </w:r>
      <w:r>
        <w:t xml:space="preserve"> </w:t>
      </w:r>
      <w:r>
        <w:rPr>
          <w:bCs/>
          <w:b/>
        </w:rPr>
        <w:t xml:space="preserve">Validado por:</w:t>
      </w:r>
      <w:r>
        <w:t xml:space="preserve"> </w:t>
      </w:r>
      <w:r>
        <w:t xml:space="preserve">Comité de Seguridad de la Información</w:t>
      </w:r>
      <w:r>
        <w:t xml:space="preserve"> </w:t>
      </w:r>
      <w:r>
        <w:rPr>
          <w:bCs/>
          <w:b/>
        </w:rPr>
        <w:t xml:space="preserve">Fecha:</w:t>
      </w:r>
      <w:r>
        <w:t xml:space="preserve"> </w:t>
      </w:r>
      <w:r>
        <w:t xml:space="preserve">{{ fecha 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E-090 — Versión {{ proyecto.version_actual if proyecto.version_actual else '1.0' }} — Clasificación: INTERNA</w:t>
      </w:r>
    </w:p>
    <w:p>
      <w:pPr>
        <w:pStyle w:val="BodyText"/>
      </w:pPr>
      <w:r>
        <w:rPr>
          <w:iCs/>
          <w:i/>
        </w:rPr>
        <w:t xml:space="preserve">Documento generado por FULKRO · {{ fecha }}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2026-05-18T22:47:00Z</dcterms:created>
  <dcterms:modified xsi:type="dcterms:W3CDTF">2026-05-18T22:47:00Z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E-090</vt:lpwstr>
  </property>
  <property fmtid="{D5CDD505-2E9C-101B-9397-08002B2CF9AE}" pid="4" name="documento_destino">
    <vt:lpwstr>Base para Plan de Adecuación (E-050) y Declaración de Aplicabilidad (E-040)</vt:lpwstr>
  </property>
  <property fmtid="{D5CDD505-2E9C-101B-9397-08002B2CF9AE}" pid="5" name="norma_aplicable">
    <vt:lpwstr>RD 311/2022 Anexo II (73 medidas) + CCN-STIC 808 (verificación)</vt:lpwstr>
  </property>
  <property fmtid="{D5CDD505-2E9C-101B-9397-08002B2CF9AE}" pid="6" name="titulo">
    <vt:lpwstr>Informe de Diagnóstico Inicial · GAP Analysis frente al ENS</vt:lpwstr>
  </property>
  <property fmtid="{D5CDD505-2E9C-101B-9397-08002B2CF9AE}" pid="7" name="version">
    <vt:lpwstr>{{ proyecto.version_actual if proyecto.version_actual else '1.0' }}</vt:lpwstr>
  </property>
</Properties>
</file>