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a09dad8ab6ae80fb2e9e96c71e9c64be3f2e51c"/>
    <w:p>
      <w:pPr>
        <w:pStyle w:val="Heading1"/>
      </w:pPr>
      <w:r>
        <w:t xml:space="preserve">POLÍTICA DE CONTROL DE ACCESO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}}-102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presente documento establece los principios, criterios y reglas aplicables al control de acceso lógico y físico a los sistemas de información, redes, servicios, instalaciones y datos titularidad de {{ cliente.razon_social }}, con la finalidad de garantizar que únicamente las personas autorizadas, en el momento autorizado, mediante los medios autorizados y para los fines autorizados, accedan a los activos de información de la Entidad.</w:t>
      </w:r>
    </w:p>
    <w:p>
      <w:pPr>
        <w:pStyle w:val="BodyText"/>
      </w:pPr>
      <w:r>
        <w:t xml:space="preserve">Esta Política desarrolla las medidas</w:t>
      </w:r>
      <w:r>
        <w:t xml:space="preserve"> </w:t>
      </w:r>
      <w:r>
        <w:rPr>
          <w:bCs/>
          <w:b/>
        </w:rPr>
        <w:t xml:space="preserve">op.acc.1 (Identificación)</w:t>
      </w:r>
      <w:r>
        <w:t xml:space="preserve">,</w:t>
      </w:r>
      <w:r>
        <w:t xml:space="preserve"> </w:t>
      </w:r>
      <w:r>
        <w:rPr>
          <w:bCs/>
          <w:b/>
        </w:rPr>
        <w:t xml:space="preserve">op.acc.2 (Requisitos de acceso)</w:t>
      </w:r>
      <w:r>
        <w:t xml:space="preserve">,</w:t>
      </w:r>
      <w:r>
        <w:t xml:space="preserve"> </w:t>
      </w:r>
      <w:r>
        <w:rPr>
          <w:bCs/>
          <w:b/>
        </w:rPr>
        <w:t xml:space="preserve">op.acc.3 (Segregación de funciones y tareas)</w:t>
      </w:r>
      <w:r>
        <w:t xml:space="preserve">,</w:t>
      </w:r>
      <w:r>
        <w:t xml:space="preserve"> </w:t>
      </w:r>
      <w:r>
        <w:rPr>
          <w:bCs/>
          <w:b/>
        </w:rPr>
        <w:t xml:space="preserve">op.acc.4 (Proceso de gestión de derechos de acceso)</w:t>
      </w:r>
      <w:r>
        <w:t xml:space="preserve">,</w:t>
      </w:r>
      <w:r>
        <w:t xml:space="preserve"> </w:t>
      </w:r>
      <w:r>
        <w:rPr>
          <w:bCs/>
          <w:b/>
        </w:rPr>
        <w:t xml:space="preserve">op.acc.5 (Mecanismos de autenticación – usuarios externos)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op.acc.6 (Mecanismos de autenticación – usuarios de la organización)</w:t>
      </w:r>
      <w:r>
        <w:t xml:space="preserve"> </w:t>
      </w:r>
      <w:r>
        <w:t xml:space="preserve">del Anexo II del Real Decreto 311/2022.</w:t>
      </w:r>
    </w:p>
    <w:bookmarkEnd w:id="20"/>
    <w:bookmarkStart w:id="21" w:name="ámbito-de-aplicación"/>
    <w:p>
      <w:pPr>
        <w:pStyle w:val="Heading2"/>
      </w:pPr>
      <w:r>
        <w:t xml:space="preserve">2. ÁMBITO DE APLICACIÓN</w:t>
      </w:r>
    </w:p>
    <w:p>
      <w:pPr>
        <w:pStyle w:val="FirstParagraph"/>
      </w:pPr>
      <w:r>
        <w:t xml:space="preserve">La presente Política se aplica a todo acceso, lógico o físico, a los sistemas, redes, servicios, instalaciones y datos comprendidos en el alcance del SGSI, conforme se define en el documento {{ proyecto.codigo_documento_base }}-100, sea dicho acceso solicitado por personal interno, por personal externo, por proveedores, por usuarios finales o por cualquier otra persona o sistema.</w:t>
      </w:r>
    </w:p>
    <w:bookmarkEnd w:id="21"/>
    <w:bookmarkStart w:id="28" w:name="principios-rectores"/>
    <w:p>
      <w:pPr>
        <w:pStyle w:val="Heading2"/>
      </w:pPr>
      <w:r>
        <w:t xml:space="preserve">3. PRINCIPIOS RECTORES</w:t>
      </w:r>
    </w:p>
    <w:bookmarkStart w:id="22" w:name="necesidad-de-saber-y-mínimo-privilegio"/>
    <w:p>
      <w:pPr>
        <w:pStyle w:val="Heading3"/>
      </w:pPr>
      <w:r>
        <w:t xml:space="preserve">3.1 Necesidad de saber y mínimo privilegio</w:t>
      </w:r>
    </w:p>
    <w:p>
      <w:pPr>
        <w:pStyle w:val="FirstParagraph"/>
      </w:pPr>
      <w:r>
        <w:t xml:space="preserve">Los accesos se concederán únicamente sobre la base del</w:t>
      </w:r>
      <w:r>
        <w:t xml:space="preserve"> </w:t>
      </w:r>
      <w:r>
        <w:rPr>
          <w:bCs/>
          <w:b/>
        </w:rPr>
        <w:t xml:space="preserve">principio de necesidad de saber</w:t>
      </w:r>
      <w:r>
        <w:t xml:space="preserve"> </w:t>
      </w:r>
      <w:r>
        <w:t xml:space="preserve">(</w:t>
      </w:r>
      <w:r>
        <w:rPr>
          <w:iCs/>
          <w:i/>
        </w:rPr>
        <w:t xml:space="preserve">need to know</w:t>
      </w:r>
      <w:r>
        <w:t xml:space="preserve">), conforme al cual cada persona accederá exclusivamente a la información estrictamente necesaria para el desempeño de las funciones que tenga encomendadas.</w:t>
      </w:r>
    </w:p>
    <w:p>
      <w:pPr>
        <w:pStyle w:val="BodyText"/>
      </w:pPr>
      <w:r>
        <w:t xml:space="preserve">Adicionalmente, los privilegios concedidos serán los</w:t>
      </w:r>
      <w:r>
        <w:t xml:space="preserve"> </w:t>
      </w:r>
      <w:r>
        <w:rPr>
          <w:bCs/>
          <w:b/>
        </w:rPr>
        <w:t xml:space="preserve">mínimos imprescindibles</w:t>
      </w:r>
      <w:r>
        <w:t xml:space="preserve"> </w:t>
      </w:r>
      <w:r>
        <w:t xml:space="preserve">(</w:t>
      </w:r>
      <w:r>
        <w:rPr>
          <w:iCs/>
          <w:i/>
        </w:rPr>
        <w:t xml:space="preserve">least privilege</w:t>
      </w:r>
      <w:r>
        <w:t xml:space="preserve">) para el ejercicio de tales funciones, evitando la concesión de privilegios genéricos, agrupados o por defecto.</w:t>
      </w:r>
    </w:p>
    <w:bookmarkEnd w:id="22"/>
    <w:bookmarkStart w:id="23" w:name="identificación-unívoca"/>
    <w:p>
      <w:pPr>
        <w:pStyle w:val="Heading3"/>
      </w:pPr>
      <w:r>
        <w:t xml:space="preserve">3.2 Identificación unívoca</w:t>
      </w:r>
    </w:p>
    <w:p>
      <w:pPr>
        <w:pStyle w:val="FirstParagraph"/>
      </w:pPr>
      <w:r>
        <w:t xml:space="preserve">Toda persona con acceso al sistema dispondrá de un</w:t>
      </w:r>
      <w:r>
        <w:t xml:space="preserve"> </w:t>
      </w:r>
      <w:r>
        <w:rPr>
          <w:bCs/>
          <w:b/>
        </w:rPr>
        <w:t xml:space="preserve">identificador único e inequívoco</w:t>
      </w:r>
      <w:r>
        <w:t xml:space="preserve"> </w:t>
      </w:r>
      <w:r>
        <w:t xml:space="preserve">que permita su identificación individual. Queda expresamente prohibido el uso de identificadores genéricos, compartidos o anónimos, salvo en aquellos casos excepcionales en los que su uso esté funcionalmente justificado, formalmente autorizado por el Responsable de la Seguridad y compensado mediante mecanismos adicionales de trazabilidad.</w:t>
      </w:r>
    </w:p>
    <w:bookmarkEnd w:id="23"/>
    <w:bookmarkStart w:id="24" w:name="autenticación"/>
    <w:p>
      <w:pPr>
        <w:pStyle w:val="Heading3"/>
      </w:pPr>
      <w:r>
        <w:t xml:space="preserve">3.3 Autenticación</w:t>
      </w:r>
    </w:p>
    <w:p>
      <w:pPr>
        <w:pStyle w:val="FirstParagraph"/>
      </w:pPr>
      <w:r>
        <w:t xml:space="preserve">Toda solicitud de acceso al sistema requerirá la verificación previa de la identidad declarada por el solicitante, mediante mecanismos de autenticación cuya robustez será proporcional al nivel de seguridad exigido y al riesgo asociado.</w:t>
      </w:r>
    </w:p>
    <w:bookmarkEnd w:id="24"/>
    <w:bookmarkStart w:id="25" w:name="autorización"/>
    <w:p>
      <w:pPr>
        <w:pStyle w:val="Heading3"/>
      </w:pPr>
      <w:r>
        <w:t xml:space="preserve">3.4 Autorización</w:t>
      </w:r>
    </w:p>
    <w:p>
      <w:pPr>
        <w:pStyle w:val="FirstParagraph"/>
      </w:pPr>
      <w:r>
        <w:t xml:space="preserve">Una vez autenticado, el acceso del usuario al sistema y a los recursos concretos quedará condicionado a que disponga, en el momento del acceso, de la autorización formal correspondiente, gestionada conforme al apartado 6 del presente documento.</w:t>
      </w:r>
    </w:p>
    <w:bookmarkEnd w:id="25"/>
    <w:bookmarkStart w:id="26" w:name="registro-y-trazabilidad"/>
    <w:p>
      <w:pPr>
        <w:pStyle w:val="Heading3"/>
      </w:pPr>
      <w:r>
        <w:t xml:space="preserve">3.5 Registro y trazabilidad</w:t>
      </w:r>
    </w:p>
    <w:p>
      <w:pPr>
        <w:pStyle w:val="FirstParagraph"/>
      </w:pPr>
      <w:r>
        <w:t xml:space="preserve">Toda acción significativa relacionada con el acceso a los sistemas y a la información será objeto de registro, con el fin de permitir la atribución posterior de responsabilidades y el análisis forense en caso de incidente, conforme se desarrolla en el documento {{ proyecto.codigo_documento_base }}-118 (Política de Registro y Auditoría).</w:t>
      </w:r>
    </w:p>
    <w:bookmarkEnd w:id="26"/>
    <w:bookmarkStart w:id="27" w:name="segregación-de-funciones"/>
    <w:p>
      <w:pPr>
        <w:pStyle w:val="Heading3"/>
      </w:pPr>
      <w:r>
        <w:t xml:space="preserve">3.6 Segregación de funciones</w:t>
      </w:r>
    </w:p>
    <w:p>
      <w:pPr>
        <w:pStyle w:val="FirstParagraph"/>
      </w:pPr>
      <w:r>
        <w:t xml:space="preserve">Las funciones susceptibles de generar conflictos de interés o de permitir actuaciones fraudulentas no autorizadas estarán</w:t>
      </w:r>
      <w:r>
        <w:t xml:space="preserve"> </w:t>
      </w:r>
      <w:r>
        <w:rPr>
          <w:bCs/>
          <w:b/>
        </w:rPr>
        <w:t xml:space="preserve">segregadas entre personas distintas</w:t>
      </w:r>
      <w:r>
        <w:t xml:space="preserve">, conforme se desarrolla en el apartado 7 del presente documento.</w:t>
      </w:r>
    </w:p>
    <w:bookmarkEnd w:id="27"/>
    <w:bookmarkEnd w:id="28"/>
    <w:bookmarkStart w:id="32" w:name="identificación-de-usuarios-op.acc.1"/>
    <w:p>
      <w:pPr>
        <w:pStyle w:val="Heading2"/>
      </w:pPr>
      <w:r>
        <w:t xml:space="preserve">4. IDENTIFICACIÓN DE USUARIOS [op.acc.1]</w:t>
      </w:r>
    </w:p>
    <w:bookmarkStart w:id="29" w:name="asignación-del-identificador"/>
    <w:p>
      <w:pPr>
        <w:pStyle w:val="Heading3"/>
      </w:pPr>
      <w:r>
        <w:t xml:space="preserve">4.1 Asignación del identificador</w:t>
      </w:r>
    </w:p>
    <w:p>
      <w:pPr>
        <w:pStyle w:val="FirstParagraph"/>
      </w:pPr>
      <w:r>
        <w:t xml:space="preserve">A cada persona usuaria del sistema se le asignará un identificador único, generado conforme a las reglas técnicas establecidas por el Responsable del Sistema y aprobadas por el Responsable de la Seguridad. El identificador acompañará a la persona durante toda su relación con la Entidad y quedará reservado para ella, no pudiendo ser reasignado a una persona distinta tras su baja.</w:t>
      </w:r>
    </w:p>
    <w:bookmarkEnd w:id="29"/>
    <w:bookmarkStart w:id="30" w:name="vinculación-con-la-identidad-real"/>
    <w:p>
      <w:pPr>
        <w:pStyle w:val="Heading3"/>
      </w:pPr>
      <w:r>
        <w:t xml:space="preserve">4.2 Vinculación con la identidad real</w:t>
      </w:r>
    </w:p>
    <w:p>
      <w:pPr>
        <w:pStyle w:val="FirstParagraph"/>
      </w:pPr>
      <w:r>
        <w:t xml:space="preserve">Cada identificador estará vinculado, en el sistema corporativo de gestión de identidades, con la identidad real, completa y verificada de la persona física a quien se asigna, así como con el rol o roles que desempeña en la Entidad.</w:t>
      </w:r>
    </w:p>
    <w:bookmarkEnd w:id="30"/>
    <w:bookmarkStart w:id="31" w:name="periodo-de-retención"/>
    <w:p>
      <w:pPr>
        <w:pStyle w:val="Heading3"/>
      </w:pPr>
      <w:r>
        <w:t xml:space="preserve">4.3 Periodo de retención</w:t>
      </w:r>
    </w:p>
    <w:p>
      <w:pPr>
        <w:pStyle w:val="FirstParagraph"/>
      </w:pPr>
      <w:r>
        <w:t xml:space="preserve">Los identificadores de personas que hayan cesado en su relación con la Entidad serán bloqueados o suprimidos en los plazos establecidos en el apartado 6.5, y en ningún caso podrán reutilizarse durante el periodo en que pudieran existir registros que los referencien.</w:t>
      </w:r>
    </w:p>
    <w:bookmarkEnd w:id="31"/>
    <w:bookmarkEnd w:id="32"/>
    <w:bookmarkStart w:id="38" w:name="autenticación-op.acc.5-y-op.acc.6"/>
    <w:p>
      <w:pPr>
        <w:pStyle w:val="Heading2"/>
      </w:pPr>
      <w:r>
        <w:t xml:space="preserve">5. AUTENTICACIÓN [op.acc.5 y op.acc.6]</w:t>
      </w:r>
    </w:p>
    <w:bookmarkStart w:id="33" w:name="mecanismos-admitidos"/>
    <w:p>
      <w:pPr>
        <w:pStyle w:val="Heading3"/>
      </w:pPr>
      <w:r>
        <w:t xml:space="preserve">5.1 Mecanismos admitidos</w:t>
      </w:r>
    </w:p>
    <w:p>
      <w:pPr>
        <w:pStyle w:val="FirstParagraph"/>
      </w:pPr>
      <w:r>
        <w:t xml:space="preserve">Los mecanismos de autenticación admitidos en los sistemas de la Entidad son los siguientes, en orden creciente de robustez: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Algo que se sabe</w:t>
      </w:r>
      <w:r>
        <w:t xml:space="preserve">: contraseña, código PIN.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Algo que se tiene</w:t>
      </w:r>
      <w:r>
        <w:t xml:space="preserve">: token físico, certificado digital instalado en dispositivo, código TOTP generado por aplicación móvil autorizada.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Algo que se es</w:t>
      </w:r>
      <w:r>
        <w:t xml:space="preserve">: huella dactilar, reconocimiento facial u otros mecanismos biométricos admitidos por la legislación aplicable.</w:t>
      </w:r>
    </w:p>
    <w:bookmarkEnd w:id="33"/>
    <w:bookmarkStart w:id="34" w:name="autenticación-multifactor-mfa"/>
    <w:p>
      <w:pPr>
        <w:pStyle w:val="Heading3"/>
      </w:pPr>
      <w:r>
        <w:t xml:space="preserve">5.2 Autenticación multifactor (MFA)</w:t>
      </w:r>
    </w:p>
    <w:p>
      <w:pPr>
        <w:pStyle w:val="FirstParagraph"/>
      </w:pPr>
      <w:r>
        <w:t>{% if proyecto.categoria_ens in [“MEDIA”, “ALTA”] %} Atendiendo a la categoría {{ proyecto.categoria_ens }} del sistema, será obligatorio el uso de autenticación multifactor (MFA), combinando al menos dos de los mecanismos descritos en el apartado 5.1, en los siguientes casos:</w:t>
      </w:r>
    </w:p>
    <w:p>
      <w:pPr>
        <w:numPr>
          <w:ilvl w:val="0"/>
          <w:numId w:val="1002"/>
        </w:numPr>
      </w:pPr>
      <w:r>
        <w:t xml:space="preserve">Acceso de usuarios privilegiados (administradores, operadores con privilegios elevados) a cualquier sistema del alcance.</w:t>
      </w:r>
    </w:p>
    <w:p>
      <w:pPr>
        <w:numPr>
          <w:ilvl w:val="0"/>
          <w:numId w:val="1002"/>
        </w:numPr>
      </w:pPr>
      <w:r>
        <w:t xml:space="preserve">Acceso a los sistemas desde redes externas a la red corporativa o desde ubicaciones no controladas por la Entidad.</w:t>
      </w:r>
    </w:p>
    <w:p>
      <w:pPr>
        <w:numPr>
          <w:ilvl w:val="0"/>
          <w:numId w:val="1002"/>
        </w:numPr>
      </w:pPr>
      <w:r>
        <w:t xml:space="preserve">Acceso a información clasificada de nivel</w:t>
      </w:r>
      <w:r>
        <w:t xml:space="preserve"> </w:t>
      </w:r>
      <w:r>
        <w:rPr>
          <w:bCs/>
          <w:b/>
        </w:rPr>
        <w:t xml:space="preserve">MEDIO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ALTO</w:t>
      </w:r>
      <w:r>
        <w:t xml:space="preserve"> </w:t>
      </w:r>
      <w:r>
        <w:t xml:space="preserve">en cualquiera de las dimensiones de seguridad.</w:t>
      </w:r>
    </w:p>
    <w:p>
      <w:pPr>
        <w:numPr>
          <w:ilvl w:val="0"/>
          <w:numId w:val="1002"/>
        </w:numPr>
      </w:pPr>
      <w:r>
        <w:t xml:space="preserve">Cualquier otro acceso que el Responsable de la Seguridad determine, atendiendo al riesgo asociado.</w:t>
      </w:r>
      <w:r>
        <w:t xml:space="preserve"> </w:t>
      </w:r>
      <w:r>
        <w:t xml:space="preserve">{% else %}</w:t>
      </w:r>
      <w:r>
        <w:t xml:space="preserve"> </w:t>
      </w:r>
      <w:r>
        <w:t xml:space="preserve">Atendiendo a la categoría BÁSICA del sistema, el uso de autenticación multifactor (MFA) será</w:t>
      </w:r>
      <w:r>
        <w:t xml:space="preserve"> </w:t>
      </w:r>
      <w:r>
        <w:rPr>
          <w:bCs/>
          <w:b/>
        </w:rPr>
        <w:t xml:space="preserve">recomendable</w:t>
      </w:r>
      <w:r>
        <w:t xml:space="preserve"> </w:t>
      </w:r>
      <w:r>
        <w:t xml:space="preserve">y, en todo caso,</w:t>
      </w:r>
      <w:r>
        <w:t xml:space="preserve"> </w:t>
      </w:r>
      <w:r>
        <w:rPr>
          <w:bCs/>
          <w:b/>
        </w:rPr>
        <w:t xml:space="preserve">obligatorio</w:t>
      </w:r>
      <w:r>
        <w:t xml:space="preserve"> </w:t>
      </w:r>
      <w:r>
        <w:t xml:space="preserve">para los accesos de administradores y para los accesos remotos desde redes externas a la red corporativa.</w:t>
      </w:r>
      <w:r>
        <w:t xml:space="preserve"> </w:t>
      </w:r>
      <w:r>
        <w:t xml:space="preserve">{% endif %}</w:t>
      </w:r>
    </w:p>
    <w:bookmarkEnd w:id="34"/>
    <w:bookmarkStart w:id="35" w:name="política-de-contraseñas"/>
    <w:p>
      <w:pPr>
        <w:pStyle w:val="Heading3"/>
      </w:pPr>
      <w:r>
        <w:t xml:space="preserve">5.3 Política de contraseñas</w:t>
      </w:r>
    </w:p>
    <w:p>
      <w:pPr>
        <w:pStyle w:val="FirstParagraph"/>
      </w:pPr>
      <w:r>
        <w:t xml:space="preserve">Cuando se utilicen contraseñas como factor de autenticación, estas deberán cumplir, como mínimo, los siguientes requisitos: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caracteres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caracteres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caracteres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Letras + dígitos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Mayúsculas, minúsculas, dígitos y especiales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Mayúsculas, minúsculas, dígitos y especiales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Periodo máximo de validez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Historial (no reutilización)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Últimas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Últimas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Bloqueo tras intentos fallidos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intentos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intentos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intentos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con sal (SHA-256 mínimo)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con sal y stretching (bcrypt/scrypt/argon2)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con sal y stretching robusto (argon2id)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cifrada (TLS 1.2 o superior)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cifrada (TLS 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cifrada (TLS 1.3 con cipher suite restringida)</w:t>
            </w:r>
          </w:p>
        </w:tc>
      </w:tr>
    </w:tbl>
    <w:p>
      <w:pPr>
        <w:pStyle w:val="BodyText"/>
      </w:pPr>
      <w:r>
        <w:t xml:space="preserve">Estos requisitos se aplicarán automáticamente desde los sistemas de gestión de identidades y serán objeto de auditoría periódica por parte del Responsable de la Seguridad.</w:t>
      </w:r>
    </w:p>
    <w:bookmarkEnd w:id="35"/>
    <w:bookmarkStart w:id="36" w:name="X79f69af8ba91bca62744c295f321d9ced49ad2a"/>
    <w:p>
      <w:pPr>
        <w:pStyle w:val="Heading3"/>
      </w:pPr>
      <w:r>
        <w:t xml:space="preserve">5.4 Custodia y protección de las credenciales</w:t>
      </w:r>
    </w:p>
    <w:p>
      <w:pPr>
        <w:pStyle w:val="FirstParagraph"/>
      </w:pPr>
      <w:r>
        <w:t xml:space="preserve">Toda persona usuaria es responsable de la custodia y protección de las credenciales de autenticación que le hayan sido asignadas, debiendo:</w:t>
      </w:r>
    </w:p>
    <w:p>
      <w:pPr>
        <w:numPr>
          <w:ilvl w:val="0"/>
          <w:numId w:val="1003"/>
        </w:numPr>
      </w:pPr>
      <w:r>
        <w:t xml:space="preserve">No comunicarlas a ninguna otra persona, ni siquiera al personal técnico de soporte.</w:t>
      </w:r>
    </w:p>
    <w:p>
      <w:pPr>
        <w:numPr>
          <w:ilvl w:val="0"/>
          <w:numId w:val="1003"/>
        </w:numPr>
      </w:pPr>
      <w:r>
        <w:t xml:space="preserve">No anotarlas en soportes que pudieran ser accesibles a terceros.</w:t>
      </w:r>
    </w:p>
    <w:p>
      <w:pPr>
        <w:numPr>
          <w:ilvl w:val="0"/>
          <w:numId w:val="1003"/>
        </w:numPr>
      </w:pPr>
      <w:r>
        <w:t xml:space="preserve">No reutilizar las credenciales corporativas en sistemas o servicios ajenos a la Entidad.</w:t>
      </w:r>
    </w:p>
    <w:p>
      <w:pPr>
        <w:numPr>
          <w:ilvl w:val="0"/>
          <w:numId w:val="1003"/>
        </w:numPr>
      </w:pPr>
      <w:r>
        <w:t xml:space="preserve">Notificar de inmediato al Responsable de la Seguridad cualquier sospecha de compromiso de las mismas.</w:t>
      </w:r>
    </w:p>
    <w:bookmarkEnd w:id="36"/>
    <w:bookmarkStart w:id="37" w:name="acceso-de-usuarios-externos"/>
    <w:p>
      <w:pPr>
        <w:pStyle w:val="Heading3"/>
      </w:pPr>
      <w:r>
        <w:t xml:space="preserve">5.5 Acceso de usuarios externos</w:t>
      </w:r>
    </w:p>
    <w:p>
      <w:pPr>
        <w:pStyle w:val="FirstParagraph"/>
      </w:pPr>
      <w:r>
        <w:t xml:space="preserve">El acceso de usuarios externos (proveedores, clientes, ciudadanos) a los sistemas de la Entidad se realizará mediante mecanismos de autenticación que ofrezcan garantías equivalentes a las exigidas a los usuarios internos para el mismo tipo de información o servicio, conforme a lo previsto en el Reglamento (UE) 910/2014 (eIDAS) y, cuando proceda, mediante el uso de certificados digitales reconocidos.</w:t>
      </w:r>
    </w:p>
    <w:bookmarkEnd w:id="37"/>
    <w:bookmarkEnd w:id="38"/>
    <w:bookmarkStart w:id="44" w:name="X092fa6ceb2cc622eb33b75b64d199169fc1a68d"/>
    <w:p>
      <w:pPr>
        <w:pStyle w:val="Heading2"/>
      </w:pPr>
      <w:r>
        <w:t xml:space="preserve">6. GESTIÓN DEL CICLO DE VIDA DE LOS DERECHOS DE ACCESO [op.acc.4]</w:t>
      </w:r>
    </w:p>
    <w:bookmarkStart w:id="39" w:name="solicitud-de-acceso"/>
    <w:p>
      <w:pPr>
        <w:pStyle w:val="Heading3"/>
      </w:pPr>
      <w:r>
        <w:t xml:space="preserve">6.1 Solicitud de acceso</w:t>
      </w:r>
    </w:p>
    <w:p>
      <w:pPr>
        <w:pStyle w:val="FirstParagraph"/>
      </w:pPr>
      <w:r>
        <w:t xml:space="preserve">Toda solicitud de acceso al sistema se formulará por escrito, mediante el procedimiento {{ proyecto.codigo_documento_base }}-205 (Procedimiento de Gestión de Cuentas y Accesos), e incluirá, al menos:</w:t>
      </w:r>
    </w:p>
    <w:p>
      <w:pPr>
        <w:numPr>
          <w:ilvl w:val="0"/>
          <w:numId w:val="1004"/>
        </w:numPr>
      </w:pPr>
      <w:r>
        <w:t xml:space="preserve">Identificación del solicitante.</w:t>
      </w:r>
    </w:p>
    <w:p>
      <w:pPr>
        <w:numPr>
          <w:ilvl w:val="0"/>
          <w:numId w:val="1004"/>
        </w:numPr>
      </w:pPr>
      <w:r>
        <w:t xml:space="preserve">Identificación del responsable jerárquico que avala la solicitud.</w:t>
      </w:r>
    </w:p>
    <w:p>
      <w:pPr>
        <w:numPr>
          <w:ilvl w:val="0"/>
          <w:numId w:val="1004"/>
        </w:numPr>
      </w:pPr>
      <w:r>
        <w:t xml:space="preserve">Descripción del rol o funciones a desempeñar.</w:t>
      </w:r>
    </w:p>
    <w:p>
      <w:pPr>
        <w:numPr>
          <w:ilvl w:val="0"/>
          <w:numId w:val="1004"/>
        </w:numPr>
      </w:pPr>
      <w:r>
        <w:t xml:space="preserve">Recursos a los que se solicita acceso y nivel de privilegio requerido.</w:t>
      </w:r>
    </w:p>
    <w:p>
      <w:pPr>
        <w:numPr>
          <w:ilvl w:val="0"/>
          <w:numId w:val="1004"/>
        </w:numPr>
      </w:pPr>
      <w:r>
        <w:t xml:space="preserve">Periodo previsto de vigencia de los accesos solicitados.</w:t>
      </w:r>
    </w:p>
    <w:bookmarkEnd w:id="39"/>
    <w:bookmarkStart w:id="40" w:name="autorización-1"/>
    <w:p>
      <w:pPr>
        <w:pStyle w:val="Heading3"/>
      </w:pPr>
      <w:r>
        <w:t xml:space="preserve">6.2 Autorización</w:t>
      </w:r>
    </w:p>
    <w:p>
      <w:pPr>
        <w:pStyle w:val="FirstParagraph"/>
      </w:pPr>
      <w:r>
        <w:t xml:space="preserve">La autorización corresponderá al</w:t>
      </w:r>
      <w:r>
        <w:t xml:space="preserve"> </w:t>
      </w:r>
      <w:r>
        <w:rPr>
          <w:bCs/>
          <w:b/>
        </w:rPr>
        <w:t xml:space="preserve">propietario del recurso</w:t>
      </w:r>
      <w:r>
        <w:t xml:space="preserve"> </w:t>
      </w:r>
      <w:r>
        <w:t xml:space="preserve">(el Responsable de la Información o el Responsable del Servicio, según proceda), quien valorará si los accesos solicitados son proporcionados al rol declarado y si respetan los principios de necesidad de saber y mínimo privilegio.</w:t>
      </w:r>
    </w:p>
    <w:p>
      <w:pPr>
        <w:pStyle w:val="BodyText"/>
      </w:pPr>
      <w:r>
        <w:t xml:space="preserve">Toda autorización quedará formalmente documentada y será trazable en el sistema de gestión de identidades.</w:t>
      </w:r>
    </w:p>
    <w:bookmarkEnd w:id="40"/>
    <w:bookmarkStart w:id="41" w:name="provisión"/>
    <w:p>
      <w:pPr>
        <w:pStyle w:val="Heading3"/>
      </w:pPr>
      <w:r>
        <w:t xml:space="preserve">6.3 Provisión</w:t>
      </w:r>
    </w:p>
    <w:p>
      <w:pPr>
        <w:pStyle w:val="FirstParagraph"/>
      </w:pPr>
      <w:r>
        <w:t xml:space="preserve">Una vez autorizada, la provisión técnica de los accesos será realizada por el Responsable del Sistema o por el personal técnico bajo su supervisión, en el plazo máximo de cinco días hábiles desde la autorización.</w:t>
      </w:r>
    </w:p>
    <w:bookmarkEnd w:id="41"/>
    <w:bookmarkStart w:id="42" w:name="revisión-periódica"/>
    <w:p>
      <w:pPr>
        <w:pStyle w:val="Heading3"/>
      </w:pPr>
      <w:r>
        <w:t xml:space="preserve">6.4 Revisión periódica</w:t>
      </w:r>
    </w:p>
    <w:p>
      <w:pPr>
        <w:pStyle w:val="FirstParagraph"/>
      </w:pPr>
      <w:r>
        <w:t xml:space="preserve">Los derechos de acceso vigentes serán objeto de revisión periódica con la siguiente cadencia: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mínima de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Accesos de usuarios privilegiados (administradores)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Accesos a información clasificada como nivel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Accesos a información clasificada como nivel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Accesos generales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</w:tbl>
    <w:p>
      <w:pPr>
        <w:pStyle w:val="BodyText"/>
      </w:pPr>
      <w:r>
        <w:t xml:space="preserve">La revisión será coordinada por el Responsable de la Seguridad, ejecutada por los propietarios de los recursos y sus resultados quedarán documentados y elevados al Comité de Seguridad.</w:t>
      </w:r>
    </w:p>
    <w:bookmarkEnd w:id="42"/>
    <w:bookmarkStart w:id="43" w:name="modificación-y-revocación"/>
    <w:p>
      <w:pPr>
        <w:pStyle w:val="Heading3"/>
      </w:pPr>
      <w:r>
        <w:t xml:space="preserve">6.5 Modificación y revocación</w:t>
      </w:r>
    </w:p>
    <w:p>
      <w:pPr>
        <w:pStyle w:val="FirstParagraph"/>
      </w:pPr>
      <w:r>
        <w:t xml:space="preserve">Todo cambio en las funciones de la persona usuaria (cambio de puesto, cambio de proyecto, asunción temporal de nuevas responsabilidades) dará lugar a la revisión inmediata de sus accesos y a su modificación cuando proceda, conforme al principio de mínimo privilegio.</w:t>
      </w:r>
    </w:p>
    <w:p>
      <w:pPr>
        <w:pStyle w:val="BodyText"/>
      </w:pPr>
      <w:r>
        <w:t xml:space="preserve">En caso de</w:t>
      </w:r>
      <w:r>
        <w:t xml:space="preserve"> </w:t>
      </w:r>
      <w:r>
        <w:rPr>
          <w:bCs/>
          <w:b/>
        </w:rPr>
        <w:t xml:space="preserve">cese definitivo</w:t>
      </w:r>
      <w:r>
        <w:t xml:space="preserve"> </w:t>
      </w:r>
      <w:r>
        <w:t xml:space="preserve">de la relación laboral o contractual, los accesos serán revocados en los siguientes plazos máximos desde la efectividad del cese: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máximo de revocación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Accesos privilegiados (administradores)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Accesos a información clasificada como nivel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Accesos a información clasificada como nivel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Accesos generales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horas</w:t>
            </w:r>
          </w:p>
        </w:tc>
      </w:tr>
    </w:tbl>
    <w:p>
      <w:pPr>
        <w:pStyle w:val="BodyText"/>
      </w:pPr>
      <w:r>
        <w:t xml:space="preserve">En el supuesto de</w:t>
      </w:r>
      <w:r>
        <w:t xml:space="preserve"> </w:t>
      </w:r>
      <w:r>
        <w:rPr>
          <w:bCs/>
          <w:b/>
        </w:rPr>
        <w:t xml:space="preserve">despido disciplinario o cese conflictivo</w:t>
      </w:r>
      <w:r>
        <w:t xml:space="preserve">, la revocación será inmediata y previa o simultánea a la comunicación formal del cese a la persona afectada.</w:t>
      </w:r>
    </w:p>
    <w:bookmarkEnd w:id="43"/>
    <w:bookmarkEnd w:id="44"/>
    <w:bookmarkStart w:id="47" w:name="segregación-de-funciones-op.acc.3"/>
    <w:p>
      <w:pPr>
        <w:pStyle w:val="Heading2"/>
      </w:pPr>
      <w:r>
        <w:t xml:space="preserve">7. SEGREGACIÓN DE FUNCIONES [op.acc.3]</w:t>
      </w:r>
    </w:p>
    <w:bookmarkStart w:id="45" w:name="funciones-incompatibles"/>
    <w:p>
      <w:pPr>
        <w:pStyle w:val="Heading3"/>
      </w:pPr>
      <w:r>
        <w:t xml:space="preserve">7.1 Funciones incompatibles</w:t>
      </w:r>
    </w:p>
    <w:p>
      <w:pPr>
        <w:pStyle w:val="FirstParagraph"/>
      </w:pPr>
      <w:r>
        <w:t xml:space="preserve">Se consideran funciones cuya acumulación por una misma persona genera conflicto de interés y queda, en consecuencia, prohibida sin autorización expresa y compensación documental, las siguientes:</w:t>
      </w:r>
    </w:p>
    <w:p>
      <w:pPr>
        <w:numPr>
          <w:ilvl w:val="0"/>
          <w:numId w:val="1005"/>
        </w:numPr>
      </w:pPr>
      <w:r>
        <w:t xml:space="preserve">Desarrollo de software y autorización de su despliegue en producción.</w:t>
      </w:r>
    </w:p>
    <w:p>
      <w:pPr>
        <w:numPr>
          <w:ilvl w:val="0"/>
          <w:numId w:val="1005"/>
        </w:numPr>
      </w:pPr>
      <w:r>
        <w:t xml:space="preserve">Operación del sistema y auditoría independiente del mismo.</w:t>
      </w:r>
    </w:p>
    <w:p>
      <w:pPr>
        <w:numPr>
          <w:ilvl w:val="0"/>
          <w:numId w:val="1005"/>
        </w:numPr>
      </w:pPr>
      <w:r>
        <w:t xml:space="preserve">Aprobación de gastos y registro contable de los mismos.</w:t>
      </w:r>
    </w:p>
    <w:p>
      <w:pPr>
        <w:numPr>
          <w:ilvl w:val="0"/>
          <w:numId w:val="1005"/>
        </w:numPr>
      </w:pPr>
      <w:r>
        <w:t xml:space="preserve">Solicitud de altas de usuario y autorización de las mismas.</w:t>
      </w:r>
    </w:p>
    <w:p>
      <w:pPr>
        <w:numPr>
          <w:ilvl w:val="0"/>
          <w:numId w:val="1005"/>
        </w:numPr>
      </w:pPr>
      <w:r>
        <w:t xml:space="preserve">Acceso a entornos productivos y modificación de los registros de auditoría sobre dichos entornos.</w:t>
      </w:r>
    </w:p>
    <w:p>
      <w:pPr>
        <w:numPr>
          <w:ilvl w:val="0"/>
          <w:numId w:val="1005"/>
        </w:numPr>
      </w:pPr>
      <w:r>
        <w:t xml:space="preserve">Cualquier otra combinación que el Comité de Seguridad determine en función del análisis de riesgos.</w:t>
      </w:r>
    </w:p>
    <w:bookmarkEnd w:id="45"/>
    <w:bookmarkStart w:id="46" w:name="mecanismos-de-control"/>
    <w:p>
      <w:pPr>
        <w:pStyle w:val="Heading3"/>
      </w:pPr>
      <w:r>
        <w:t xml:space="preserve">7.2 Mecanismos de control</w:t>
      </w:r>
    </w:p>
    <w:p>
      <w:pPr>
        <w:pStyle w:val="FirstParagraph"/>
      </w:pPr>
      <w:r>
        <w:t xml:space="preserve">La segregación de funciones se garantizará mediante:</w:t>
      </w:r>
    </w:p>
    <w:p>
      <w:pPr>
        <w:numPr>
          <w:ilvl w:val="0"/>
          <w:numId w:val="1006"/>
        </w:numPr>
      </w:pPr>
      <w:r>
        <w:t xml:space="preserve">Asignación clara y documentada de roles en el organigrama y en el sistema de gestión de identidades.</w:t>
      </w:r>
    </w:p>
    <w:p>
      <w:pPr>
        <w:numPr>
          <w:ilvl w:val="0"/>
          <w:numId w:val="1006"/>
        </w:numPr>
      </w:pPr>
      <w:r>
        <w:t xml:space="preserve">Configuración técnica de los sistemas de modo que las combinaciones prohibidas no sean técnicamente posibles.</w:t>
      </w:r>
    </w:p>
    <w:p>
      <w:pPr>
        <w:numPr>
          <w:ilvl w:val="0"/>
          <w:numId w:val="1006"/>
        </w:numPr>
      </w:pPr>
      <w:r>
        <w:t xml:space="preserve">Auditoría periódica del cumplimiento de la segregación, integrada en el ciclo de revisión de accesos del apartado 6.4.</w:t>
      </w:r>
    </w:p>
    <w:p>
      <w:pPr>
        <w:numPr>
          <w:ilvl w:val="0"/>
          <w:numId w:val="1006"/>
        </w:numPr>
      </w:pPr>
      <w:r>
        <w:t xml:space="preserve">En aquellos casos en que la dimensión de la Entidad impida una segregación estricta, adopción de</w:t>
      </w:r>
      <w:r>
        <w:t xml:space="preserve"> </w:t>
      </w:r>
      <w:r>
        <w:rPr>
          <w:bCs/>
          <w:b/>
        </w:rPr>
        <w:t xml:space="preserve">medidas compensatorias</w:t>
      </w:r>
      <w:r>
        <w:t xml:space="preserve"> </w:t>
      </w:r>
      <w:r>
        <w:t xml:space="preserve">documentadas (revisión por una segunda persona, supervisión continua, doble registro, etc.) y autorización expresa del Responsable de la Seguridad.</w:t>
      </w:r>
    </w:p>
    <w:bookmarkEnd w:id="46"/>
    <w:bookmarkEnd w:id="47"/>
    <w:bookmarkStart w:id="48" w:name="control-de-acceso-físico"/>
    <w:p>
      <w:pPr>
        <w:pStyle w:val="Heading2"/>
      </w:pPr>
      <w:r>
        <w:t xml:space="preserve">8. CONTROL DE ACCESO FÍSICO</w:t>
      </w:r>
    </w:p>
    <w:p>
      <w:pPr>
        <w:pStyle w:val="FirstParagraph"/>
      </w:pPr>
      <w:r>
        <w:t xml:space="preserve">El acceso físico a las instalaciones que albergan elementos del sistema se regulará por el principio de mínimo privilegio, conforme a las medidas mp.if.1 a mp.if.7 del Anexo II del ENS y al desarrollo específico del documento {{ proyecto.codigo_documento_base }}-110 (Política de Seguridad Física y Ambiental).</w:t>
      </w:r>
    </w:p>
    <w:bookmarkEnd w:id="48"/>
    <w:bookmarkStart w:id="49" w:name="acceso-remoto"/>
    <w:p>
      <w:pPr>
        <w:pStyle w:val="Heading2"/>
      </w:pPr>
      <w:r>
        <w:t xml:space="preserve">9. ACCESO REMOTO</w:t>
      </w:r>
    </w:p>
    <w:p>
      <w:pPr>
        <w:pStyle w:val="FirstParagraph"/>
      </w:pPr>
      <w:r>
        <w:t xml:space="preserve">El acceso remoto a los sistemas desde redes no controladas por la Entidad estará condicionado a:</w:t>
      </w:r>
    </w:p>
    <w:p>
      <w:pPr>
        <w:numPr>
          <w:ilvl w:val="0"/>
          <w:numId w:val="1007"/>
        </w:numPr>
      </w:pPr>
      <w:r>
        <w:t xml:space="preserve">Autorización expresa del Responsable de la Seguridad.</w:t>
      </w:r>
    </w:p>
    <w:p>
      <w:pPr>
        <w:numPr>
          <w:ilvl w:val="0"/>
          <w:numId w:val="1007"/>
        </w:numPr>
      </w:pPr>
      <w:r>
        <w:t xml:space="preserve">Uso obligatorio de canal cifrado (VPN corporativa o equivalente, con TLS 1.2 o superior).</w:t>
      </w:r>
    </w:p>
    <w:p>
      <w:pPr>
        <w:numPr>
          <w:ilvl w:val="0"/>
          <w:numId w:val="1007"/>
        </w:numPr>
      </w:pPr>
      <w:r>
        <w:t xml:space="preserve">Uso obligatorio de autenticación multifactor.</w:t>
      </w:r>
    </w:p>
    <w:p>
      <w:pPr>
        <w:numPr>
          <w:ilvl w:val="0"/>
          <w:numId w:val="1007"/>
        </w:numPr>
      </w:pPr>
      <w:r>
        <w:t xml:space="preserve">Registro completo de la sesión y posibilidad de terminación remota inmediata.</w:t>
      </w:r>
    </w:p>
    <w:p>
      <w:pPr>
        <w:numPr>
          <w:ilvl w:val="0"/>
          <w:numId w:val="1007"/>
        </w:numPr>
      </w:pPr>
      <w:r>
        <w:t xml:space="preserve">Cumplimiento de la política de uso de equipos personales (BYOD), cuando proceda, conforme al documento {{ proyecto.codigo_documento_base }}-117.</w:t>
      </w:r>
    </w:p>
    <w:bookmarkEnd w:id="49"/>
    <w:bookmarkStart w:id="50" w:name="incumplimiento"/>
    <w:p>
      <w:pPr>
        <w:pStyle w:val="Heading2"/>
      </w:pPr>
      <w:r>
        <w:t xml:space="preserve">10. INCUMPLIMIENTO</w:t>
      </w:r>
    </w:p>
    <w:p>
      <w:pPr>
        <w:pStyle w:val="FirstParagraph"/>
      </w:pPr>
      <w:r>
        <w:t xml:space="preserve">El incumplimiento de la presente Política, incluyendo el intento de acceso no autorizado, la cesión de credenciales, la elusión de mecanismos de autenticación o la extracción de información a la que no se tiene derecho, podrá dar lugar a la apertura del correspondiente expediente disciplinario y, en su caso, a las responsabilidades civiles, administrativas o penales que correspondan, conforme a lo previsto en el apartado 10 del documento {{ proyecto.codigo_documento_base }}-100.</w:t>
      </w:r>
    </w:p>
    <w:bookmarkEnd w:id="50"/>
    <w:bookmarkStart w:id="51" w:name="aprobación-revisión-y-vigencia"/>
    <w:p>
      <w:pPr>
        <w:pStyle w:val="Heading2"/>
      </w:pPr>
      <w:r>
        <w:t xml:space="preserve">11. APROBACIÓN, REVISIÓN Y VIGENCIA</w:t>
      </w:r>
    </w:p>
    <w:p>
      <w:pPr>
        <w:pStyle w:val="FirstParagraph"/>
      </w:pPr>
      <w:r>
        <w:t xml:space="preserve">El presente documento ha sido aprobado por {{ cliente.organo_aprobador_politicas }} el {{ proyecto.fecha_aprobacion_inicial }} y será objeto de revisión, al menos, con la misma periodicidad que la Política de Seguridad de la Información de la que es desarrollo.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}}-102 — Versión {{ proyecto.version_actual }} — Clasificación: INTERNA</w:t>
      </w:r>
    </w:p>
    <w:bookmarkEnd w:id="51"/>
    <w:bookmarkEnd w:id="52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E-101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E-101 · Política de Control de Acceso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2026-04-14T18:00:37Z</dcterms:created>
  <dcterms:modified xsi:type="dcterms:W3CDTF">2026-04-14T18:00:37Z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}}-102</vt:lpwstr>
  </property>
  <property fmtid="{D5CDD505-2E9C-101B-9397-08002B2CF9AE}" pid="5" name="fecha_aprobacion">
    <vt:lpwstr>{{ proyecto.fecha_aprobacion_inicial }}</vt:lpwstr>
  </property>
  <property fmtid="{D5CDD505-2E9C-101B-9397-08002B2CF9AE}" pid="6" name="fecha_proxima_revision">
    <vt:lpwstr>{{ proyecto.proxima_revision }}</vt:lpwstr>
  </property>
  <property fmtid="{D5CDD505-2E9C-101B-9397-08002B2CF9AE}" pid="7" name="propietario">
    <vt:lpwstr>{{ responsables.responsable_seguridad.cargo }}</vt:lpwstr>
  </property>
  <property fmtid="{D5CDD505-2E9C-101B-9397-08002B2CF9AE}" pid="8" name="titulo">
    <vt:lpwstr>Política de Control de Acceso</vt:lpwstr>
  </property>
  <property fmtid="{D5CDD505-2E9C-101B-9397-08002B2CF9AE}" pid="9" name="version">
    <vt:lpwstr>{{ proyecto.version_actual }}</vt:lpwstr>
  </property>
</Properties>
</file>