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907c900d8ffa85e79f790c06da38a45dbcbe2a0"/>
    <w:p>
      <w:pPr>
        <w:pStyle w:val="Heading1"/>
      </w:pPr>
      <w:r>
        <w:t xml:space="preserve">POLÍTICA DE USO ACEPTABLE DE LOS RECURSOS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}}-106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El presente documento establece las normas de uso aceptable de los recursos tecnológicos, de información y de comunicación puestos a disposición del personal de {{ cliente.razon_social }} y de cualesquiera terceros con acceso a dichos recursos, con la finalidad de garantizar su utilización adecuada, proporcionada, lícita y conforme con los intereses legítimos de la Entidad.</w:t>
      </w:r>
    </w:p>
    <w:p>
      <w:pPr>
        <w:pStyle w:val="BodyText"/>
      </w:pPr>
      <w:r>
        <w:t xml:space="preserve">Esta Política configura, junto con las demás normas internas, el marco de derechos y deberes del personal en relación con los recursos puestos a su disposición y constituye una norma de obligado cumplimiento.</w:t>
      </w:r>
    </w:p>
    <w:bookmarkEnd w:id="20"/>
    <w:bookmarkStart w:id="23" w:name="ámbito-de-aplicación"/>
    <w:p>
      <w:pPr>
        <w:pStyle w:val="Heading2"/>
      </w:pPr>
      <w:r>
        <w:t xml:space="preserve">2. ÁMBITO DE APLICACIÓN</w:t>
      </w:r>
    </w:p>
    <w:bookmarkStart w:id="21" w:name="ámbito-subjetivo"/>
    <w:p>
      <w:pPr>
        <w:pStyle w:val="Heading3"/>
      </w:pPr>
      <w:r>
        <w:t xml:space="preserve">2.1 Ámbito subjetivo</w:t>
      </w:r>
    </w:p>
    <w:p>
      <w:pPr>
        <w:pStyle w:val="FirstParagraph"/>
      </w:pPr>
      <w:r>
        <w:t xml:space="preserve">La presente Política es de obligado cumplimiento para:</w:t>
      </w:r>
    </w:p>
    <w:p>
      <w:pPr>
        <w:numPr>
          <w:ilvl w:val="0"/>
          <w:numId w:val="1001"/>
        </w:numPr>
      </w:pPr>
      <w:r>
        <w:t xml:space="preserve">Todo el personal de la Entidad, con independencia de su régimen jurídico de relación, categoría profesional, antigüedad o modalidad de contratación.</w:t>
      </w:r>
    </w:p>
    <w:p>
      <w:pPr>
        <w:numPr>
          <w:ilvl w:val="0"/>
          <w:numId w:val="1001"/>
        </w:numPr>
      </w:pPr>
      <w:r>
        <w:t xml:space="preserve">El personal externo, contratistas, subcontratistas, becarios, personal en prácticas y consultores con acceso a los recursos de la Entidad.</w:t>
      </w:r>
    </w:p>
    <w:p>
      <w:pPr>
        <w:numPr>
          <w:ilvl w:val="0"/>
          <w:numId w:val="1001"/>
        </w:numPr>
      </w:pPr>
      <w:r>
        <w:t xml:space="preserve">Cualquier tercero al que la Entidad facilite, de forma puntual o continuada, el acceso a sus recursos tecnológicos.</w:t>
      </w:r>
    </w:p>
    <w:bookmarkEnd w:id="21"/>
    <w:bookmarkStart w:id="22" w:name="ámbito-objetivo"/>
    <w:p>
      <w:pPr>
        <w:pStyle w:val="Heading3"/>
      </w:pPr>
      <w:r>
        <w:t xml:space="preserve">2.2 Ámbito objetivo</w:t>
      </w:r>
    </w:p>
    <w:p>
      <w:pPr>
        <w:pStyle w:val="FirstParagraph"/>
      </w:pPr>
      <w:r>
        <w:t xml:space="preserve">Constituyen</w:t>
      </w:r>
      <w:r>
        <w:t xml:space="preserve"> </w:t>
      </w:r>
      <w:r>
        <w:t xml:space="preserve">“</w:t>
      </w:r>
      <w:r>
        <w:t xml:space="preserve">recursos</w:t>
      </w:r>
      <w:r>
        <w:t xml:space="preserve">”</w:t>
      </w:r>
      <w:r>
        <w:t xml:space="preserve"> </w:t>
      </w:r>
      <w:r>
        <w:t xml:space="preserve">a los efectos del presente documento, con carácter no limitativo:</w:t>
      </w:r>
    </w:p>
    <w:p>
      <w:pPr>
        <w:numPr>
          <w:ilvl w:val="0"/>
          <w:numId w:val="1002"/>
        </w:numPr>
      </w:pPr>
      <w:r>
        <w:t xml:space="preserve">Equipos informáticos de cualquier tipo (ordenadores de sobremesa, portátiles, dispositivos móviles, tabletas).</w:t>
      </w:r>
    </w:p>
    <w:p>
      <w:pPr>
        <w:numPr>
          <w:ilvl w:val="0"/>
          <w:numId w:val="1002"/>
        </w:numPr>
      </w:pPr>
      <w:r>
        <w:t xml:space="preserve">Software corporativo, ya sea licenciado, propio o de terceros.</w:t>
      </w:r>
    </w:p>
    <w:p>
      <w:pPr>
        <w:numPr>
          <w:ilvl w:val="0"/>
          <w:numId w:val="1002"/>
        </w:numPr>
      </w:pPr>
      <w:r>
        <w:t xml:space="preserve">Acceso a redes corporativas e Internet a través de la infraestructura de la Entidad.</w:t>
      </w:r>
    </w:p>
    <w:p>
      <w:pPr>
        <w:numPr>
          <w:ilvl w:val="0"/>
          <w:numId w:val="1002"/>
        </w:numPr>
      </w:pPr>
      <w:r>
        <w:t xml:space="preserve">Cuentas de correo electrónico corporativas.</w:t>
      </w:r>
    </w:p>
    <w:p>
      <w:pPr>
        <w:numPr>
          <w:ilvl w:val="0"/>
          <w:numId w:val="1002"/>
        </w:numPr>
      </w:pPr>
      <w:r>
        <w:t xml:space="preserve">Almacenamiento corporativo, ya sea local o cloud.</w:t>
      </w:r>
    </w:p>
    <w:p>
      <w:pPr>
        <w:numPr>
          <w:ilvl w:val="0"/>
          <w:numId w:val="1002"/>
        </w:numPr>
      </w:pPr>
      <w:r>
        <w:t xml:space="preserve">Sistemas de telefonía, videoconferencia y mensajería corporativa.</w:t>
      </w:r>
    </w:p>
    <w:p>
      <w:pPr>
        <w:numPr>
          <w:ilvl w:val="0"/>
          <w:numId w:val="1002"/>
        </w:numPr>
      </w:pPr>
      <w:r>
        <w:t xml:space="preserve">Cuentas en plataformas externas creadas en nombre de la Entidad o para el desempeño de funciones profesionales.</w:t>
      </w:r>
    </w:p>
    <w:p>
      <w:pPr>
        <w:numPr>
          <w:ilvl w:val="0"/>
          <w:numId w:val="1002"/>
        </w:numPr>
      </w:pPr>
      <w:r>
        <w:t xml:space="preserve">Documentación e información en cualquier formato perteneciente a la Entidad.</w:t>
      </w:r>
    </w:p>
    <w:p>
      <w:pPr>
        <w:numPr>
          <w:ilvl w:val="0"/>
          <w:numId w:val="1002"/>
        </w:numPr>
      </w:pPr>
      <w:r>
        <w:t xml:space="preserve">Cualquier otro recurso identificado en el inventario de activos.</w:t>
      </w:r>
    </w:p>
    <w:bookmarkEnd w:id="22"/>
    <w:bookmarkEnd w:id="23"/>
    <w:bookmarkStart w:id="24" w:name="derechos-del-personal-usuario"/>
    <w:p>
      <w:pPr>
        <w:pStyle w:val="Heading2"/>
      </w:pPr>
      <w:r>
        <w:t xml:space="preserve">3. DERECHOS DEL PERSONAL USUARIO</w:t>
      </w:r>
    </w:p>
    <w:p>
      <w:pPr>
        <w:pStyle w:val="FirstParagraph"/>
      </w:pPr>
      <w:r>
        <w:t xml:space="preserve">El personal usuario tiene derecho a:</w:t>
      </w:r>
    </w:p>
    <w:p>
      <w:pPr>
        <w:numPr>
          <w:ilvl w:val="0"/>
          <w:numId w:val="1003"/>
        </w:numPr>
      </w:pPr>
      <w:r>
        <w:t xml:space="preserve">Disponer de los recursos necesarios para el correcto desempeño de las funciones que tenga encomendadas.</w:t>
      </w:r>
    </w:p>
    <w:p>
      <w:pPr>
        <w:numPr>
          <w:ilvl w:val="0"/>
          <w:numId w:val="1003"/>
        </w:numPr>
      </w:pPr>
      <w:r>
        <w:t xml:space="preserve">Recibir la formación adecuada sobre el uso de los recursos puestos a su disposición y sobre las obligaciones derivadas de la presente Política.</w:t>
      </w:r>
    </w:p>
    <w:p>
      <w:pPr>
        <w:numPr>
          <w:ilvl w:val="0"/>
          <w:numId w:val="1003"/>
        </w:numPr>
      </w:pPr>
      <w:r>
        <w:t xml:space="preserve">Conocer las medidas de monitorización a las que estén sujetos los recursos que utiliza, conforme al apartado 9 del presente documento, en cumplimiento del artículo 87 de la LOPDGDD.</w:t>
      </w:r>
    </w:p>
    <w:p>
      <w:pPr>
        <w:numPr>
          <w:ilvl w:val="0"/>
          <w:numId w:val="1003"/>
        </w:numPr>
      </w:pPr>
      <w:r>
        <w:t xml:space="preserve">Ser informado de las consecuencias del incumplimiento de la presente Política.</w:t>
      </w:r>
    </w:p>
    <w:p>
      <w:pPr>
        <w:numPr>
          <w:ilvl w:val="0"/>
          <w:numId w:val="1003"/>
        </w:numPr>
      </w:pPr>
      <w:r>
        <w:t xml:space="preserve">Recibir asistencia técnica del Responsable del Sistema cuando experimente dificultades en el uso de los recursos.</w:t>
      </w:r>
    </w:p>
    <w:bookmarkEnd w:id="24"/>
    <w:bookmarkStart w:id="28" w:name="normas-generales-de-uso"/>
    <w:p>
      <w:pPr>
        <w:pStyle w:val="Heading2"/>
      </w:pPr>
      <w:r>
        <w:t xml:space="preserve">4. NORMAS GENERALES DE USO</w:t>
      </w:r>
    </w:p>
    <w:bookmarkStart w:id="25" w:name="finalidad-profesional"/>
    <w:p>
      <w:pPr>
        <w:pStyle w:val="Heading3"/>
      </w:pPr>
      <w:r>
        <w:t xml:space="preserve">4.1 Finalidad profesional</w:t>
      </w:r>
    </w:p>
    <w:p>
      <w:pPr>
        <w:pStyle w:val="FirstParagraph"/>
      </w:pPr>
      <w:r>
        <w:t xml:space="preserve">Los recursos puestos a disposición del personal serán utilizados, con carácter general,</w:t>
      </w:r>
      <w:r>
        <w:t xml:space="preserve"> </w:t>
      </w:r>
      <w:r>
        <w:rPr>
          <w:bCs/>
          <w:b/>
        </w:rPr>
        <w:t xml:space="preserve">exclusivamente para fines profesionales</w:t>
      </w:r>
      <w:r>
        <w:t xml:space="preserve"> </w:t>
      </w:r>
      <w:r>
        <w:t xml:space="preserve">vinculados a las funciones que cada persona tenga encomendadas en el seno de la Entidad.</w:t>
      </w:r>
    </w:p>
    <w:p>
      <w:pPr>
        <w:pStyle w:val="BodyText"/>
      </w:pPr>
      <w:r>
        <w:t xml:space="preserve">Se admite un uso personal</w:t>
      </w:r>
      <w:r>
        <w:t xml:space="preserve"> </w:t>
      </w:r>
      <w:r>
        <w:rPr>
          <w:bCs/>
          <w:b/>
        </w:rPr>
        <w:t xml:space="preserve">moderado, ocasional y razonable</w:t>
      </w:r>
      <w:r>
        <w:t xml:space="preserve"> </w:t>
      </w:r>
      <w:r>
        <w:t xml:space="preserve">de los recursos, siempre que:</w:t>
      </w:r>
    </w:p>
    <w:p>
      <w:pPr>
        <w:numPr>
          <w:ilvl w:val="0"/>
          <w:numId w:val="1004"/>
        </w:numPr>
      </w:pPr>
      <w:r>
        <w:t xml:space="preserve">No interfiera con el desempeño normal de las funciones profesionales.</w:t>
      </w:r>
    </w:p>
    <w:p>
      <w:pPr>
        <w:numPr>
          <w:ilvl w:val="0"/>
          <w:numId w:val="1004"/>
        </w:numPr>
      </w:pPr>
      <w:r>
        <w:t xml:space="preserve">No suponga un coste significativo para la Entidad.</w:t>
      </w:r>
    </w:p>
    <w:p>
      <w:pPr>
        <w:numPr>
          <w:ilvl w:val="0"/>
          <w:numId w:val="1004"/>
        </w:numPr>
      </w:pPr>
      <w:r>
        <w:t xml:space="preserve">No comprometa la seguridad de los sistemas, la información o las comunicaciones.</w:t>
      </w:r>
    </w:p>
    <w:p>
      <w:pPr>
        <w:numPr>
          <w:ilvl w:val="0"/>
          <w:numId w:val="1004"/>
        </w:numPr>
      </w:pPr>
      <w:r>
        <w:t xml:space="preserve">No vulnere la legislación vigente ni las normas internas de la Entidad.</w:t>
      </w:r>
    </w:p>
    <w:p>
      <w:pPr>
        <w:numPr>
          <w:ilvl w:val="0"/>
          <w:numId w:val="1004"/>
        </w:numPr>
      </w:pPr>
      <w:r>
        <w:t xml:space="preserve">No afecte negativamente a la imagen o reputación de la Entidad.</w:t>
      </w:r>
    </w:p>
    <w:bookmarkEnd w:id="25"/>
    <w:bookmarkStart w:id="26" w:name="diligencia-y-custodia"/>
    <w:p>
      <w:pPr>
        <w:pStyle w:val="Heading3"/>
      </w:pPr>
      <w:r>
        <w:t xml:space="preserve">4.2 Diligencia y custodia</w:t>
      </w:r>
    </w:p>
    <w:p>
      <w:pPr>
        <w:pStyle w:val="FirstParagraph"/>
      </w:pPr>
      <w:r>
        <w:t xml:space="preserve">El personal usuario actuará con la diligencia debida en la custodia y uso de los recursos, debiendo:</w:t>
      </w:r>
    </w:p>
    <w:p>
      <w:pPr>
        <w:numPr>
          <w:ilvl w:val="0"/>
          <w:numId w:val="1005"/>
        </w:numPr>
      </w:pPr>
      <w:r>
        <w:t xml:space="preserve">Mantener los equipos y soportes en condiciones adecuadas de conservación.</w:t>
      </w:r>
    </w:p>
    <w:p>
      <w:pPr>
        <w:numPr>
          <w:ilvl w:val="0"/>
          <w:numId w:val="1005"/>
        </w:numPr>
      </w:pPr>
      <w:r>
        <w:t xml:space="preserve">Bloquear la sesión cuando se ausente del puesto de trabajo, aunque sea por un breve periodo.</w:t>
      </w:r>
    </w:p>
    <w:p>
      <w:pPr>
        <w:numPr>
          <w:ilvl w:val="0"/>
          <w:numId w:val="1005"/>
        </w:numPr>
      </w:pPr>
      <w:r>
        <w:t xml:space="preserve">Adoptar las medidas razonables para evitar la sustracción, pérdida, daño o acceso no autorizado por terceros.</w:t>
      </w:r>
    </w:p>
    <w:p>
      <w:pPr>
        <w:numPr>
          <w:ilvl w:val="0"/>
          <w:numId w:val="1005"/>
        </w:numPr>
      </w:pPr>
      <w:r>
        <w:t xml:space="preserve">Notificar de inmediato cualquier incidencia, anomalía o sospecha de incidente al Responsable del Sistema o al Responsable de la Seguridad.</w:t>
      </w:r>
    </w:p>
    <w:bookmarkEnd w:id="26"/>
    <w:bookmarkStart w:id="27" w:name="confidencialidad"/>
    <w:p>
      <w:pPr>
        <w:pStyle w:val="Heading3"/>
      </w:pPr>
      <w:r>
        <w:t xml:space="preserve">4.3 Confidencialidad</w:t>
      </w:r>
    </w:p>
    <w:p>
      <w:pPr>
        <w:pStyle w:val="FirstParagraph"/>
      </w:pPr>
      <w:r>
        <w:t xml:space="preserve">El personal usuario deberá mantener la confidencialidad de toda la información a la que acceda en el ejercicio de sus funciones, debiendo:</w:t>
      </w:r>
    </w:p>
    <w:p>
      <w:pPr>
        <w:numPr>
          <w:ilvl w:val="0"/>
          <w:numId w:val="1006"/>
        </w:numPr>
      </w:pPr>
      <w:r>
        <w:t xml:space="preserve">No divulgar, copiar, reproducir o difundir información confidencial de la Entidad fuera del ámbito de sus funciones.</w:t>
      </w:r>
    </w:p>
    <w:p>
      <w:pPr>
        <w:numPr>
          <w:ilvl w:val="0"/>
          <w:numId w:val="1006"/>
        </w:numPr>
      </w:pPr>
      <w:r>
        <w:t xml:space="preserve">No utilizar información confidencial para finalidades distintas de aquellas para las que ha sido legítimamente obtenida.</w:t>
      </w:r>
    </w:p>
    <w:p>
      <w:pPr>
        <w:numPr>
          <w:ilvl w:val="0"/>
          <w:numId w:val="1006"/>
        </w:numPr>
      </w:pPr>
      <w:r>
        <w:t xml:space="preserve">Adoptar las precauciones razonables para evitar que terceros no autorizados accedan a la información, especialmente en espacios públicos, durante el trabajo a distancia o en desplazamientos.</w:t>
      </w:r>
    </w:p>
    <w:p>
      <w:pPr>
        <w:numPr>
          <w:ilvl w:val="0"/>
          <w:numId w:val="1006"/>
        </w:numPr>
      </w:pPr>
      <w:r>
        <w:t xml:space="preserve">Mantener la obligación de confidencialidad incluso después de la extinción de la relación con la Entidad, conforme a los compromisos suscritos.</w:t>
      </w:r>
    </w:p>
    <w:bookmarkEnd w:id="27"/>
    <w:bookmarkEnd w:id="28"/>
    <w:bookmarkStart w:id="33" w:name="usos-prohibidos"/>
    <w:p>
      <w:pPr>
        <w:pStyle w:val="Heading2"/>
      </w:pPr>
      <w:r>
        <w:t xml:space="preserve">5. USOS PROHIBIDOS</w:t>
      </w:r>
    </w:p>
    <w:p>
      <w:pPr>
        <w:pStyle w:val="FirstParagraph"/>
      </w:pPr>
      <w:r>
        <w:t xml:space="preserve">Sin perjuicio de cualesquiera otras prohibiciones derivadas de la legislación aplicable o de las normas internas de la Entidad, queda</w:t>
      </w:r>
      <w:r>
        <w:t xml:space="preserve"> </w:t>
      </w:r>
      <w:r>
        <w:rPr>
          <w:bCs/>
          <w:b/>
        </w:rPr>
        <w:t xml:space="preserve">expresamente prohibido</w:t>
      </w:r>
      <w:r>
        <w:t xml:space="preserve">:</w:t>
      </w:r>
    </w:p>
    <w:bookmarkStart w:id="29" w:name="X8aeae4c305f2c82f12da355b89c615cdc2d76c9"/>
    <w:p>
      <w:pPr>
        <w:pStyle w:val="Heading3"/>
      </w:pPr>
      <w:r>
        <w:t xml:space="preserve">5.1 En relación con la integridad y disponibilidad de los sistemas</w:t>
      </w:r>
    </w:p>
    <w:p>
      <w:pPr>
        <w:numPr>
          <w:ilvl w:val="0"/>
          <w:numId w:val="1007"/>
        </w:numPr>
      </w:pPr>
      <w:r>
        <w:t xml:space="preserve">Realizar acciones, intencionales o por negligencia grave, que puedan comprometer la disponibilidad, integridad, confidencialidad, autenticidad o trazabilidad de los sistemas o de la información.</w:t>
      </w:r>
    </w:p>
    <w:p>
      <w:pPr>
        <w:numPr>
          <w:ilvl w:val="0"/>
          <w:numId w:val="1007"/>
        </w:numPr>
      </w:pPr>
      <w:r>
        <w:t xml:space="preserve">Instalar software no autorizado, incluidos programas, aplicaciones, extensiones de navegador, complementos, juegos y servicios cloud no aprobados.</w:t>
      </w:r>
    </w:p>
    <w:p>
      <w:pPr>
        <w:numPr>
          <w:ilvl w:val="0"/>
          <w:numId w:val="1007"/>
        </w:numPr>
      </w:pPr>
      <w:r>
        <w:t xml:space="preserve">Modificar la configuración de seguridad de los equipos sin autorización expresa del Responsable del Sistema.</w:t>
      </w:r>
    </w:p>
    <w:p>
      <w:pPr>
        <w:numPr>
          <w:ilvl w:val="0"/>
          <w:numId w:val="1007"/>
        </w:numPr>
      </w:pPr>
      <w:r>
        <w:t xml:space="preserve">Conectar dispositivos personales a la red corporativa fuera de los supuestos autorizados por la Política de uso de dispositivos personales (BYOD).</w:t>
      </w:r>
    </w:p>
    <w:p>
      <w:pPr>
        <w:numPr>
          <w:ilvl w:val="0"/>
          <w:numId w:val="1007"/>
        </w:numPr>
      </w:pPr>
      <w:r>
        <w:t xml:space="preserve">Eludir o intentar eludir los mecanismos de seguridad implantados por la Entidad, incluyendo sistemas antimalware, filtros de contenido, controles de acceso, herramientas de monitorización y cualquier otro control de seguridad.</w:t>
      </w:r>
    </w:p>
    <w:p>
      <w:pPr>
        <w:numPr>
          <w:ilvl w:val="0"/>
          <w:numId w:val="1007"/>
        </w:numPr>
      </w:pPr>
      <w:r>
        <w:t xml:space="preserve">Utilizar herramientas de hacking, escaneo de vulnerabilidades, sniffing de red u otras herramientas ofensivas, salvo cuando ello forme parte explícita de las funciones laborales y exista autorización expresa.</w:t>
      </w:r>
    </w:p>
    <w:bookmarkEnd w:id="29"/>
    <w:bookmarkStart w:id="30" w:name="en-relación-con-el-contenido"/>
    <w:p>
      <w:pPr>
        <w:pStyle w:val="Heading3"/>
      </w:pPr>
      <w:r>
        <w:t xml:space="preserve">5.2 En relación con el contenido</w:t>
      </w:r>
    </w:p>
    <w:p>
      <w:pPr>
        <w:numPr>
          <w:ilvl w:val="0"/>
          <w:numId w:val="1008"/>
        </w:numPr>
      </w:pPr>
      <w:r>
        <w:t xml:space="preserve">Almacenar, distribuir, descargar, reproducir o difundir contenidos ilegales, ofensivos, discriminatorios, sexistas, racistas, xenófobos, violentos, pornográficos, de apología del terrorismo o de cualquier otra naturaleza contraria a la dignidad de las personas o a la legislación vigente.</w:t>
      </w:r>
    </w:p>
    <w:p>
      <w:pPr>
        <w:numPr>
          <w:ilvl w:val="0"/>
          <w:numId w:val="1008"/>
        </w:numPr>
      </w:pPr>
      <w:r>
        <w:t xml:space="preserve">Vulnerar derechos de propiedad intelectual o industrial mediante la descarga, reproducción, distribución o uso no autorizado de obras protegidas.</w:t>
      </w:r>
    </w:p>
    <w:p>
      <w:pPr>
        <w:numPr>
          <w:ilvl w:val="0"/>
          <w:numId w:val="1008"/>
        </w:numPr>
      </w:pPr>
      <w:r>
        <w:t xml:space="preserve">Suplantar la identidad de otras personas, físicas o jurídicas, mediante el uso de cuentas, firmas electrónicas o cualquier otro mecanismo de identificación.</w:t>
      </w:r>
    </w:p>
    <w:p>
      <w:pPr>
        <w:numPr>
          <w:ilvl w:val="0"/>
          <w:numId w:val="1008"/>
        </w:numPr>
      </w:pPr>
      <w:r>
        <w:t xml:space="preserve">Difundir información falsa, calumniosa o injuriosa sobre la Entidad, su personal, sus partes interesadas o terceros.</w:t>
      </w:r>
    </w:p>
    <w:p>
      <w:pPr>
        <w:numPr>
          <w:ilvl w:val="0"/>
          <w:numId w:val="1008"/>
        </w:numPr>
      </w:pPr>
      <w:r>
        <w:t xml:space="preserve">Utilizar los recursos de la Entidad para actividades comerciales, lucrativas o políticas ajenas a las funciones profesionales.</w:t>
      </w:r>
    </w:p>
    <w:bookmarkEnd w:id="30"/>
    <w:bookmarkStart w:id="31" w:name="en-relación-con-datos-personales"/>
    <w:p>
      <w:pPr>
        <w:pStyle w:val="Heading3"/>
      </w:pPr>
      <w:r>
        <w:t xml:space="preserve">5.3 En relación con datos personales</w:t>
      </w:r>
    </w:p>
    <w:p>
      <w:pPr>
        <w:numPr>
          <w:ilvl w:val="0"/>
          <w:numId w:val="1009"/>
        </w:numPr>
      </w:pPr>
      <w:r>
        <w:t xml:space="preserve">Tratar datos personales para finalidades distintas de las legítimas y previstas en el ejercicio de las funciones profesionales.</w:t>
      </w:r>
    </w:p>
    <w:p>
      <w:pPr>
        <w:numPr>
          <w:ilvl w:val="0"/>
          <w:numId w:val="1009"/>
        </w:numPr>
      </w:pPr>
      <w:r>
        <w:t xml:space="preserve">Comunicar datos personales a terceros sin autorización del Responsable del Tratamiento o sin la base de legitimación correspondiente conforme al RGPD.</w:t>
      </w:r>
    </w:p>
    <w:p>
      <w:pPr>
        <w:numPr>
          <w:ilvl w:val="0"/>
          <w:numId w:val="1009"/>
        </w:numPr>
      </w:pPr>
      <w:r>
        <w:t xml:space="preserve">Almacenar datos personales en dispositivos o servicios no autorizados por la Entidad.</w:t>
      </w:r>
    </w:p>
    <w:p>
      <w:pPr>
        <w:numPr>
          <w:ilvl w:val="0"/>
          <w:numId w:val="1009"/>
        </w:numPr>
      </w:pPr>
      <w:r>
        <w:t xml:space="preserve">Realizar copias o extracciones masivas de datos personales sin autorización expresa.</w:t>
      </w:r>
    </w:p>
    <w:bookmarkEnd w:id="31"/>
    <w:bookmarkStart w:id="32" w:name="Xb10cc2dbb68252768ae72f95a37198772fe1d5a"/>
    <w:p>
      <w:pPr>
        <w:pStyle w:val="Heading3"/>
      </w:pPr>
      <w:r>
        <w:t xml:space="preserve">5.4 En relación con la seguridad de las credenciales</w:t>
      </w:r>
    </w:p>
    <w:p>
      <w:pPr>
        <w:numPr>
          <w:ilvl w:val="0"/>
          <w:numId w:val="1010"/>
        </w:numPr>
      </w:pPr>
      <w:r>
        <w:t xml:space="preserve">Comunicar las credenciales de autenticación personales a otra persona, sea o no del personal de la Entidad.</w:t>
      </w:r>
    </w:p>
    <w:p>
      <w:pPr>
        <w:numPr>
          <w:ilvl w:val="0"/>
          <w:numId w:val="1010"/>
        </w:numPr>
      </w:pPr>
      <w:r>
        <w:t xml:space="preserve">Utilizar las credenciales de otro usuario, incluso con su consentimiento.</w:t>
      </w:r>
    </w:p>
    <w:p>
      <w:pPr>
        <w:numPr>
          <w:ilvl w:val="0"/>
          <w:numId w:val="1010"/>
        </w:numPr>
      </w:pPr>
      <w:r>
        <w:t xml:space="preserve">Anotar las credenciales en soportes accesibles a terceros.</w:t>
      </w:r>
    </w:p>
    <w:p>
      <w:pPr>
        <w:numPr>
          <w:ilvl w:val="0"/>
          <w:numId w:val="1010"/>
        </w:numPr>
      </w:pPr>
      <w:r>
        <w:t xml:space="preserve">Reutilizar las credenciales corporativas en sistemas o servicios externos a la Entidad.</w:t>
      </w:r>
    </w:p>
    <w:bookmarkEnd w:id="32"/>
    <w:bookmarkEnd w:id="33"/>
    <w:bookmarkStart w:id="36" w:name="uso-del-correo-electrónico-corporativo"/>
    <w:p>
      <w:pPr>
        <w:pStyle w:val="Heading2"/>
      </w:pPr>
      <w:r>
        <w:t xml:space="preserve">6. USO DEL CORREO ELECTRÓNICO CORPORATIVO</w:t>
      </w:r>
    </w:p>
    <w:bookmarkStart w:id="34" w:name="naturaleza-del-correo-corporativo"/>
    <w:p>
      <w:pPr>
        <w:pStyle w:val="Heading3"/>
      </w:pPr>
      <w:r>
        <w:t xml:space="preserve">6.1 Naturaleza del correo corporativo</w:t>
      </w:r>
    </w:p>
    <w:p>
      <w:pPr>
        <w:pStyle w:val="FirstParagraph"/>
      </w:pPr>
      <w:r>
        <w:t xml:space="preserve">Las cuentas de correo electrónico corporativas son un instrumento de trabajo titularidad de la Entidad y, en consecuencia,</w:t>
      </w:r>
      <w:r>
        <w:t xml:space="preserve"> </w:t>
      </w:r>
      <w:r>
        <w:rPr>
          <w:bCs/>
          <w:b/>
        </w:rPr>
        <w:t xml:space="preserve">no constituyen un canal de comunicación personal</w:t>
      </w:r>
      <w:r>
        <w:t xml:space="preserve">, sin perjuicio del uso personal moderado autorizado conforme al apartado 4.1.</w:t>
      </w:r>
    </w:p>
    <w:bookmarkEnd w:id="34"/>
    <w:bookmarkStart w:id="35" w:name="reglas-específicas"/>
    <w:p>
      <w:pPr>
        <w:pStyle w:val="Heading3"/>
      </w:pPr>
      <w:r>
        <w:t xml:space="preserve">6.2 Reglas específicas</w:t>
      </w:r>
    </w:p>
    <w:p>
      <w:pPr>
        <w:pStyle w:val="FirstParagraph"/>
      </w:pPr>
      <w:r>
        <w:t xml:space="preserve">Al utilizar el correo electrónico corporativo, el personal usuario deberá:</w:t>
      </w:r>
    </w:p>
    <w:p>
      <w:pPr>
        <w:numPr>
          <w:ilvl w:val="0"/>
          <w:numId w:val="1011"/>
        </w:numPr>
      </w:pPr>
      <w:r>
        <w:t xml:space="preserve">Utilizar exclusivamente la cuenta corporativa para comunicaciones profesionales en nombre de la Entidad.</w:t>
      </w:r>
    </w:p>
    <w:p>
      <w:pPr>
        <w:numPr>
          <w:ilvl w:val="0"/>
          <w:numId w:val="1011"/>
        </w:numPr>
      </w:pPr>
      <w:r>
        <w:t xml:space="preserve">Verificar la identidad del destinatario antes de enviar información sensible.</w:t>
      </w:r>
    </w:p>
    <w:p>
      <w:pPr>
        <w:numPr>
          <w:ilvl w:val="0"/>
          <w:numId w:val="1011"/>
        </w:numPr>
      </w:pPr>
      <w:r>
        <w:t xml:space="preserve">Cifrar los mensajes que contengan información confidencial cuando la herramienta lo permita.</w:t>
      </w:r>
    </w:p>
    <w:p>
      <w:pPr>
        <w:numPr>
          <w:ilvl w:val="0"/>
          <w:numId w:val="1011"/>
        </w:numPr>
      </w:pPr>
      <w:r>
        <w:t xml:space="preserve">No abrir adjuntos o enlaces sospechosos de remitentes desconocidos o inesperados.</w:t>
      </w:r>
    </w:p>
    <w:p>
      <w:pPr>
        <w:numPr>
          <w:ilvl w:val="0"/>
          <w:numId w:val="1011"/>
        </w:numPr>
      </w:pPr>
      <w:r>
        <w:t xml:space="preserve">Notificar de inmediato al Responsable de la Seguridad cualquier mensaje sospechoso de constituir un intento de phishing, spear-phishing, suplantación o cualquier otro fraude.</w:t>
      </w:r>
    </w:p>
    <w:p>
      <w:pPr>
        <w:numPr>
          <w:ilvl w:val="0"/>
          <w:numId w:val="1011"/>
        </w:numPr>
      </w:pPr>
      <w:r>
        <w:t xml:space="preserve">No participar en cadenas de correos masivos,</w:t>
      </w:r>
      <w:r>
        <w:t xml:space="preserve"> </w:t>
      </w:r>
      <w:r>
        <w:rPr>
          <w:iCs/>
          <w:i/>
        </w:rPr>
        <w:t xml:space="preserve">spam</w:t>
      </w:r>
      <w:r>
        <w:t xml:space="preserve"> </w:t>
      </w:r>
      <w:r>
        <w:t xml:space="preserve">o difusión de bulos.</w:t>
      </w:r>
    </w:p>
    <w:p>
      <w:pPr>
        <w:numPr>
          <w:ilvl w:val="0"/>
          <w:numId w:val="1011"/>
        </w:numPr>
      </w:pPr>
      <w:r>
        <w:t xml:space="preserve">Adoptar precauciones especiales al utilizar las funciones de respuesta automática durante ausencias.</w:t>
      </w:r>
    </w:p>
    <w:bookmarkEnd w:id="35"/>
    <w:bookmarkEnd w:id="36"/>
    <w:bookmarkStart w:id="40" w:name="navegación-por-internet"/>
    <w:p>
      <w:pPr>
        <w:pStyle w:val="Heading2"/>
      </w:pPr>
      <w:r>
        <w:t xml:space="preserve">7. NAVEGACIÓN POR INTERNET</w:t>
      </w:r>
    </w:p>
    <w:bookmarkStart w:id="37" w:name="uso-responsable"/>
    <w:p>
      <w:pPr>
        <w:pStyle w:val="Heading3"/>
      </w:pPr>
      <w:r>
        <w:t xml:space="preserve">7.1 Uso responsable</w:t>
      </w:r>
    </w:p>
    <w:p>
      <w:pPr>
        <w:pStyle w:val="FirstParagraph"/>
      </w:pPr>
      <w:r>
        <w:t xml:space="preserve">El acceso a Internet desde los recursos de la Entidad está sujeto a las normas generales del presente documento y, en particular, a la prohibición de acceder a contenidos ilícitos o inapropiados.</w:t>
      </w:r>
    </w:p>
    <w:bookmarkEnd w:id="37"/>
    <w:bookmarkStart w:id="38" w:name="filtrado-de-contenidos"/>
    <w:p>
      <w:pPr>
        <w:pStyle w:val="Heading3"/>
      </w:pPr>
      <w:r>
        <w:t xml:space="preserve">7.2 Filtrado de contenidos</w:t>
      </w:r>
    </w:p>
    <w:p>
      <w:pPr>
        <w:pStyle w:val="FirstParagraph"/>
      </w:pPr>
      <w:r>
        <w:t xml:space="preserve">La Entidad puede disponer de mecanismos técnicos de filtrado de contenidos web que bloqueen el acceso a sitios considerados peligrosos, ilícitos o ajenos a las finalidades profesionales. Estos mecanismos no requieren autorización individual del personal y forman parte de las medidas de seguridad ordinarias.</w:t>
      </w:r>
    </w:p>
    <w:bookmarkEnd w:id="38"/>
    <w:bookmarkStart w:id="39" w:name="descargas"/>
    <w:p>
      <w:pPr>
        <w:pStyle w:val="Heading3"/>
      </w:pPr>
      <w:r>
        <w:t xml:space="preserve">7.3 Descargas</w:t>
      </w:r>
    </w:p>
    <w:p>
      <w:pPr>
        <w:pStyle w:val="FirstParagraph"/>
      </w:pPr>
      <w:r>
        <w:t xml:space="preserve">Las descargas de software desde Internet quedan limitadas a las realizadas desde fuentes oficiales y, en cualquier caso, requieren la autorización previa del Responsable del Sistema cuando el software vaya a instalarse en equipos corporativos.</w:t>
      </w:r>
    </w:p>
    <w:bookmarkEnd w:id="39"/>
    <w:bookmarkEnd w:id="40"/>
    <w:bookmarkStart w:id="43" w:name="trabajo-a-distancia-y-movilidad"/>
    <w:p>
      <w:pPr>
        <w:pStyle w:val="Heading2"/>
      </w:pPr>
      <w:r>
        <w:t xml:space="preserve">8. TRABAJO A DISTANCIA Y MOVILIDAD</w:t>
      </w:r>
    </w:p>
    <w:bookmarkStart w:id="41" w:name="autorización"/>
    <w:p>
      <w:pPr>
        <w:pStyle w:val="Heading3"/>
      </w:pPr>
      <w:r>
        <w:t xml:space="preserve">8.1 Autorización</w:t>
      </w:r>
    </w:p>
    <w:p>
      <w:pPr>
        <w:pStyle w:val="FirstParagraph"/>
      </w:pPr>
      <w:r>
        <w:t xml:space="preserve">El trabajo a distancia se realizará exclusivamente en los términos y condiciones autorizados por la Entidad y conforme a la normativa laboral aplicable.</w:t>
      </w:r>
    </w:p>
    <w:bookmarkEnd w:id="41"/>
    <w:bookmarkStart w:id="42" w:name="medidas-específicas"/>
    <w:p>
      <w:pPr>
        <w:pStyle w:val="Heading3"/>
      </w:pPr>
      <w:r>
        <w:t xml:space="preserve">8.2 Medidas específicas</w:t>
      </w:r>
    </w:p>
    <w:p>
      <w:pPr>
        <w:pStyle w:val="FirstParagraph"/>
      </w:pPr>
      <w:r>
        <w:t xml:space="preserve">Cuando el personal usuario trabaje fuera de las instalaciones controladas por la Entidad, deberá:</w:t>
      </w:r>
    </w:p>
    <w:p>
      <w:pPr>
        <w:numPr>
          <w:ilvl w:val="0"/>
          <w:numId w:val="1012"/>
        </w:numPr>
      </w:pPr>
      <w:r>
        <w:t xml:space="preserve">Conectarse a los sistemas corporativos exclusivamente a través de los canales seguros autorizados (VPN corporativa o equivalente).</w:t>
      </w:r>
    </w:p>
    <w:p>
      <w:pPr>
        <w:numPr>
          <w:ilvl w:val="0"/>
          <w:numId w:val="1012"/>
        </w:numPr>
      </w:pPr>
      <w:r>
        <w:t xml:space="preserve">Adoptar precauciones razonables para que terceros no observen la información mostrada en pantalla, especialmente en espacios públicos.</w:t>
      </w:r>
    </w:p>
    <w:p>
      <w:pPr>
        <w:numPr>
          <w:ilvl w:val="0"/>
          <w:numId w:val="1012"/>
        </w:numPr>
      </w:pPr>
      <w:r>
        <w:t xml:space="preserve">No conectar los equipos corporativos a redes Wi-Fi públicas no confiables sin canal cifrado adicional.</w:t>
      </w:r>
    </w:p>
    <w:p>
      <w:pPr>
        <w:numPr>
          <w:ilvl w:val="0"/>
          <w:numId w:val="1012"/>
        </w:numPr>
      </w:pPr>
      <w:r>
        <w:t xml:space="preserve">Custodiar los equipos con la diligencia debida, evitando dejarlos desatendidos en espacios accesibles.</w:t>
      </w:r>
    </w:p>
    <w:p>
      <w:pPr>
        <w:numPr>
          <w:ilvl w:val="0"/>
          <w:numId w:val="1012"/>
        </w:numPr>
      </w:pPr>
      <w:r>
        <w:t xml:space="preserve">Notificar de inmediato la pérdida o sustracción de cualquier dispositivo corporativo.</w:t>
      </w:r>
    </w:p>
    <w:p>
      <w:pPr>
        <w:numPr>
          <w:ilvl w:val="0"/>
          <w:numId w:val="1012"/>
        </w:numPr>
      </w:pPr>
      <w:r>
        <w:t xml:space="preserve">Cumplir las obligaciones específicas establecidas en el documento {{ proyecto.codigo_documento_base }}-117 (Política de Trabajo a Distancia y Movilidad) cuando este sea aplicable.</w:t>
      </w:r>
    </w:p>
    <w:bookmarkEnd w:id="42"/>
    <w:bookmarkEnd w:id="43"/>
    <w:bookmarkStart w:id="47" w:name="monitorización-del-uso-de-los-recursos"/>
    <w:p>
      <w:pPr>
        <w:pStyle w:val="Heading2"/>
      </w:pPr>
      <w:r>
        <w:t xml:space="preserve">9. MONITORIZACIÓN DEL USO DE LOS RECURSOS</w:t>
      </w:r>
    </w:p>
    <w:bookmarkStart w:id="44" w:name="facultad-de-control-y-supervisión"/>
    <w:p>
      <w:pPr>
        <w:pStyle w:val="Heading3"/>
      </w:pPr>
      <w:r>
        <w:t xml:space="preserve">9.1 Facultad de control y supervisión</w:t>
      </w:r>
    </w:p>
    <w:p>
      <w:pPr>
        <w:pStyle w:val="FirstParagraph"/>
      </w:pPr>
      <w:r>
        <w:t xml:space="preserve">Conforme al artículo 87 de la Ley Orgánica 3/2018, de 5 de diciembre, de Protección de Datos Personales y garantía de los derechos digitales, la Entidad podrá acceder a los contenidos derivados del uso de los medios digitales facilitados al personal a los solos efectos de controlar el cumplimiento de las obligaciones laborales o estatutarias y de garantizar la integridad de dichos dispositivos, en los términos y con las garantías establecidas en dicho precepto.</w:t>
      </w:r>
    </w:p>
    <w:bookmarkEnd w:id="44"/>
    <w:bookmarkStart w:id="45" w:name="información-previa"/>
    <w:p>
      <w:pPr>
        <w:pStyle w:val="Heading3"/>
      </w:pPr>
      <w:r>
        <w:t xml:space="preserve">9.2 Información previa</w:t>
      </w:r>
    </w:p>
    <w:p>
      <w:pPr>
        <w:pStyle w:val="FirstParagraph"/>
      </w:pPr>
      <w:r>
        <w:t xml:space="preserve">El personal usuario es informado, mediante la presente Política, de la existencia de las siguientes medidas de monitorización y control:</w:t>
      </w:r>
    </w:p>
    <w:p>
      <w:pPr>
        <w:numPr>
          <w:ilvl w:val="0"/>
          <w:numId w:val="1013"/>
        </w:numPr>
      </w:pPr>
      <w:r>
        <w:t xml:space="preserve">Registro de los accesos a los sistemas corporativos, conforme al documento {{ proyecto.codigo_documento_base }}-118 (Política de Registro y Auditoría).</w:t>
      </w:r>
    </w:p>
    <w:p>
      <w:pPr>
        <w:numPr>
          <w:ilvl w:val="0"/>
          <w:numId w:val="1013"/>
        </w:numPr>
      </w:pPr>
      <w:r>
        <w:t xml:space="preserve">Registro de las acciones realizadas con privilegios elevados.</w:t>
      </w:r>
    </w:p>
    <w:p>
      <w:pPr>
        <w:numPr>
          <w:ilvl w:val="0"/>
          <w:numId w:val="1013"/>
        </w:numPr>
      </w:pPr>
      <w:r>
        <w:t xml:space="preserve">Monitorización agregada del uso de la conexión a Internet, sin acceso al contenido específico de la navegación salvo en los supuestos de incidente o investigación formalmente abiertos.</w:t>
      </w:r>
    </w:p>
    <w:p>
      <w:pPr>
        <w:numPr>
          <w:ilvl w:val="0"/>
          <w:numId w:val="1013"/>
        </w:numPr>
      </w:pPr>
      <w:r>
        <w:t xml:space="preserve">Filtrado automatizado de contenidos web no autorizados.</w:t>
      </w:r>
    </w:p>
    <w:p>
      <w:pPr>
        <w:numPr>
          <w:ilvl w:val="0"/>
          <w:numId w:val="1013"/>
        </w:numPr>
      </w:pPr>
      <w:r>
        <w:t xml:space="preserve">Análisis automatizado del correo electrónico mediante herramientas antispam, antimalware y antifraude.</w:t>
      </w:r>
    </w:p>
    <w:p>
      <w:pPr>
        <w:numPr>
          <w:ilvl w:val="0"/>
          <w:numId w:val="1013"/>
        </w:numPr>
      </w:pPr>
      <w:r>
        <w:t xml:space="preserve">Inventario y monitorización del estado de seguridad de los equipos corporativos.</w:t>
      </w:r>
    </w:p>
    <w:p>
      <w:pPr>
        <w:numPr>
          <w:ilvl w:val="0"/>
          <w:numId w:val="1013"/>
        </w:numPr>
      </w:pPr>
      <w:r>
        <w:t xml:space="preserve">Posibilidad de acceso al contenido de los equipos y cuentas corporativas en los supuestos previstos en el artículo 87 de la LOPDGDD, con las garantías allí establecidas.</w:t>
      </w:r>
    </w:p>
    <w:bookmarkEnd w:id="45"/>
    <w:bookmarkStart w:id="46" w:name="garantías"/>
    <w:p>
      <w:pPr>
        <w:pStyle w:val="Heading3"/>
      </w:pPr>
      <w:r>
        <w:t xml:space="preserve">9.3 Garantías</w:t>
      </w:r>
    </w:p>
    <w:p>
      <w:pPr>
        <w:pStyle w:val="FirstParagraph"/>
      </w:pPr>
      <w:r>
        <w:t xml:space="preserve">El acceso a los contenidos derivados del uso de los recursos por parte del personal se realizará con respeto a los derechos fundamentales del trabajador, en particular a su derecho a la intimidad y al secreto de las comunicaciones, y conforme a los principios de finalidad, proporcionalidad y mínima intervención. Cualquier acceso no rutinario será documentado y justificado.</w:t>
      </w:r>
    </w:p>
    <w:bookmarkEnd w:id="46"/>
    <w:bookmarkEnd w:id="47"/>
    <w:bookmarkStart w:id="48" w:name="Xc2f24e5b69be4bc8a37bdfedea7401cb49ebebe"/>
    <w:p>
      <w:pPr>
        <w:pStyle w:val="Heading2"/>
      </w:pPr>
      <w:r>
        <w:t xml:space="preserve">10. DEVOLUCIÓN DE RECURSOS A LA EXTINCIÓN DE LA RELACIÓN</w:t>
      </w:r>
    </w:p>
    <w:p>
      <w:pPr>
        <w:pStyle w:val="FirstParagraph"/>
      </w:pPr>
      <w:r>
        <w:t xml:space="preserve">Al término de la relación con la Entidad, el personal usuario procederá a:</w:t>
      </w:r>
    </w:p>
    <w:p>
      <w:pPr>
        <w:numPr>
          <w:ilvl w:val="0"/>
          <w:numId w:val="1014"/>
        </w:numPr>
      </w:pPr>
      <w:r>
        <w:t xml:space="preserve">Devolver todos los equipos, soportes, llaves, tarjetas y demás recursos físicos puestos a su disposición.</w:t>
      </w:r>
    </w:p>
    <w:p>
      <w:pPr>
        <w:numPr>
          <w:ilvl w:val="0"/>
          <w:numId w:val="1014"/>
        </w:numPr>
      </w:pPr>
      <w:r>
        <w:t xml:space="preserve">Devolver o eliminar, según las indicaciones recibidas, toda la documentación e información de la Entidad de la que disponga, en cualquier formato y ubicación.</w:t>
      </w:r>
    </w:p>
    <w:p>
      <w:pPr>
        <w:numPr>
          <w:ilvl w:val="0"/>
          <w:numId w:val="1014"/>
        </w:numPr>
      </w:pPr>
      <w:r>
        <w:t xml:space="preserve">Cumplir con las obligaciones de confidencialidad que subsistan tras la extinción de la relación.</w:t>
      </w:r>
    </w:p>
    <w:p>
      <w:pPr>
        <w:numPr>
          <w:ilvl w:val="0"/>
          <w:numId w:val="1014"/>
        </w:numPr>
      </w:pPr>
      <w:r>
        <w:t xml:space="preserve">Colaborar de buena fe en el traspaso ordenado de las funciones a su sucesor.</w:t>
      </w:r>
    </w:p>
    <w:bookmarkEnd w:id="48"/>
    <w:bookmarkStart w:id="49" w:name="régimen-de-incumplimiento"/>
    <w:p>
      <w:pPr>
        <w:pStyle w:val="Heading2"/>
      </w:pPr>
      <w:r>
        <w:t xml:space="preserve">11. RÉGIMEN DE INCUMPLIMIENTO</w:t>
      </w:r>
    </w:p>
    <w:p>
      <w:pPr>
        <w:pStyle w:val="FirstParagraph"/>
      </w:pPr>
      <w:r>
        <w:t xml:space="preserve">El incumplimiento de la presente Política podrá dar lugar a la apertura del correspondiente expediente disciplinario, conforme a lo previsto en el régimen disciplinario interno aplicable y en la legislación laboral o estatutaria, sin perjuicio de las responsabilidades civiles, administrativas o penales en que pudiera incurrirse, atendiendo a la naturaleza y gravedad del incumplimiento.</w:t>
      </w:r>
    </w:p>
    <w:p>
      <w:pPr>
        <w:pStyle w:val="BodyText"/>
      </w:pPr>
      <w:r>
        <w:t xml:space="preserve">En el caso del personal externo, el incumplimiento podrá dar lugar a la resolución del contrato vigente con su empleador y a la exigencia de las responsabilidades contractuales correspondientes.</w:t>
      </w:r>
    </w:p>
    <w:bookmarkEnd w:id="49"/>
    <w:bookmarkStart w:id="50" w:name="aceptación"/>
    <w:p>
      <w:pPr>
        <w:pStyle w:val="Heading2"/>
      </w:pPr>
      <w:r>
        <w:t xml:space="preserve">12. ACEPTACIÓN</w:t>
      </w:r>
    </w:p>
    <w:p>
      <w:pPr>
        <w:pStyle w:val="FirstParagraph"/>
      </w:pPr>
      <w:r>
        <w:t xml:space="preserve">La presente Política será comunicada a todo el personal en el momento de su incorporación a la Entidad y se requerirá la firma o acuse de recibo formal de su aceptación, que se incorporará a su expediente.</w:t>
      </w:r>
    </w:p>
    <w:p>
      <w:pPr>
        <w:pStyle w:val="BodyText"/>
      </w:pPr>
      <w:r>
        <w:t xml:space="preserve">Las modificaciones posteriores serán comunicadas y, cuando supongan obligaciones nuevas o más exigentes, requerirán nueva aceptación.</w:t>
      </w:r>
    </w:p>
    <w:bookmarkEnd w:id="50"/>
    <w:bookmarkStart w:id="51" w:name="aprobación-revisión-y-vigencia"/>
    <w:p>
      <w:pPr>
        <w:pStyle w:val="Heading2"/>
      </w:pPr>
      <w:r>
        <w:t xml:space="preserve">13. APROBACIÓN, REVISIÓN Y VIGENCIA</w:t>
      </w:r>
    </w:p>
    <w:p>
      <w:pPr>
        <w:pStyle w:val="FirstParagraph"/>
      </w:pPr>
      <w:r>
        <w:t xml:space="preserve">El presente documento ha sido aprobado por {{ cliente.organo_aprobador_politicas }} el {{ proyecto.fecha_aprobacion_inicial }} y será objeto de revisión, al menos, con la misma periodicidad que la Política de Seguridad de la Información de la que es desarrollo.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}}-106 — Versión {{ proyecto.version_actual }} — Clasificación: INTERNA</w:t>
      </w:r>
    </w:p>
    <w:bookmarkEnd w:id="51"/>
    <w:bookmarkEnd w:id="52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E-103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E-103 · Política de Uso Aceptable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2026-04-14T18:00:37Z</dcterms:created>
  <dcterms:modified xsi:type="dcterms:W3CDTF">2026-04-14T18:00:37Z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}}-106</vt:lpwstr>
  </property>
  <property fmtid="{D5CDD505-2E9C-101B-9397-08002B2CF9AE}" pid="5" name="fecha_aprobacion">
    <vt:lpwstr>{{ proyecto.fecha_aprobacion_inicial }}</vt:lpwstr>
  </property>
  <property fmtid="{D5CDD505-2E9C-101B-9397-08002B2CF9AE}" pid="6" name="fecha_proxima_revision">
    <vt:lpwstr>{{ proyecto.proxima_revision }}</vt:lpwstr>
  </property>
  <property fmtid="{D5CDD505-2E9C-101B-9397-08002B2CF9AE}" pid="7" name="propietario">
    <vt:lpwstr>{{ responsables.responsable_seguridad.cargo }}</vt:lpwstr>
  </property>
  <property fmtid="{D5CDD505-2E9C-101B-9397-08002B2CF9AE}" pid="8" name="titulo">
    <vt:lpwstr>Política de Uso Aceptable de los Recursos</vt:lpwstr>
  </property>
  <property fmtid="{D5CDD505-2E9C-101B-9397-08002B2CF9AE}" pid="9" name="version">
    <vt:lpwstr>{{ proyecto.version_actual }}</vt:lpwstr>
  </property>
</Properties>
</file>