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c0e3ba0aaed40dc5fe3a67b89396cbac4d0899d"/>
    <w:p>
      <w:pPr>
        <w:pStyle w:val="Heading1"/>
      </w:pPr>
      <w:r>
        <w:t xml:space="preserve">POLÍTICA DE CLASIFICACIÓN Y TRATAMIENTO DE LA INFORMACIÓN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}}-108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El presente documento establece los principios y reglas aplicables a la</w:t>
      </w:r>
      <w:r>
        <w:t xml:space="preserve"> </w:t>
      </w:r>
      <w:r>
        <w:rPr>
          <w:bCs/>
          <w:b/>
        </w:rPr>
        <w:t xml:space="preserve">clasificación de la información</w:t>
      </w:r>
      <w:r>
        <w:t xml:space="preserve"> </w:t>
      </w:r>
      <w:r>
        <w:t xml:space="preserve">tratada por {{ cliente.razon_social }}, así como los criterios y obligaciones para su</w:t>
      </w:r>
      <w:r>
        <w:t xml:space="preserve"> </w:t>
      </w:r>
      <w:r>
        <w:rPr>
          <w:bCs/>
          <w:b/>
        </w:rPr>
        <w:t xml:space="preserve">tratamiento, etiquetado, conservación, transmisión, almacenamiento y destrucción</w:t>
      </w:r>
      <w:r>
        <w:t xml:space="preserve"> </w:t>
      </w:r>
      <w:r>
        <w:t xml:space="preserve">a lo largo de todo su ciclo de vida, con la finalidad de garantizar que la información reciba en cada momento un nivel de protección proporcional a su valor, sensibilidad y criticidad.</w:t>
      </w:r>
    </w:p>
    <w:p>
      <w:pPr>
        <w:pStyle w:val="BodyText"/>
      </w:pPr>
      <w:r>
        <w:t xml:space="preserve">Esta Política da cumplimiento a las medidas</w:t>
      </w:r>
      <w:r>
        <w:t xml:space="preserve"> </w:t>
      </w:r>
      <w:r>
        <w:rPr>
          <w:bCs/>
          <w:b/>
        </w:rPr>
        <w:t xml:space="preserve">mp.info.1 (Datos personales)</w:t>
      </w:r>
      <w:r>
        <w:t xml:space="preserve">,</w:t>
      </w:r>
      <w:r>
        <w:t xml:space="preserve"> </w:t>
      </w:r>
      <w:r>
        <w:rPr>
          <w:bCs/>
          <w:b/>
        </w:rPr>
        <w:t xml:space="preserve">mp.info.2 (Calificación de la información)</w:t>
      </w:r>
      <w:r>
        <w:t xml:space="preserve">,</w:t>
      </w:r>
      <w:r>
        <w:t xml:space="preserve"> </w:t>
      </w:r>
      <w:r>
        <w:rPr>
          <w:bCs/>
          <w:b/>
        </w:rPr>
        <w:t xml:space="preserve">mp.info.4 (Firma electrónica)</w:t>
      </w:r>
      <w:r>
        <w:t xml:space="preserve">,</w:t>
      </w:r>
      <w:r>
        <w:t xml:space="preserve"> </w:t>
      </w:r>
      <w:r>
        <w:rPr>
          <w:bCs/>
          <w:b/>
        </w:rPr>
        <w:t xml:space="preserve">mp.info.5 (Sellos de tiempo)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mp.info.6 (Limpieza de documentos)</w:t>
      </w:r>
      <w:r>
        <w:t xml:space="preserve"> </w:t>
      </w:r>
      <w:r>
        <w:t xml:space="preserve">del Anexo II del Real Decreto 311/2022, y se complementa con el Reglamento (UE) 2016/679 (RGPD), la Ley Orgánica 3/2018 (LOPDGDD) y, cuando proceda, el Reglamento (UE) 910/2014 (eIDAS).</w:t>
      </w:r>
    </w:p>
    <w:bookmarkEnd w:id="20"/>
    <w:bookmarkStart w:id="21" w:name="ámbito-de-aplicación"/>
    <w:p>
      <w:pPr>
        <w:pStyle w:val="Heading2"/>
      </w:pPr>
      <w:r>
        <w:t xml:space="preserve">2. ÁMBITO DE APLICACIÓN</w:t>
      </w:r>
    </w:p>
    <w:p>
      <w:pPr>
        <w:pStyle w:val="FirstParagraph"/>
      </w:pPr>
      <w:r>
        <w:t xml:space="preserve">La presente Política se aplica a:</w:t>
      </w:r>
    </w:p>
    <w:p>
      <w:pPr>
        <w:numPr>
          <w:ilvl w:val="0"/>
          <w:numId w:val="1001"/>
        </w:numPr>
      </w:pPr>
      <w:r>
        <w:t xml:space="preserve">Toda la información tratada por la Entidad, en cualquier formato (electrónico, impreso, audiovisual u otros).</w:t>
      </w:r>
    </w:p>
    <w:p>
      <w:pPr>
        <w:numPr>
          <w:ilvl w:val="0"/>
          <w:numId w:val="1001"/>
        </w:numPr>
      </w:pPr>
      <w:r>
        <w:t xml:space="preserve">Todo soporte que contenga información de la Entidad, incluyendo equipos, dispositivos móviles, soportes extraíbles, archivos físicos y servicios cloud.</w:t>
      </w:r>
    </w:p>
    <w:p>
      <w:pPr>
        <w:numPr>
          <w:ilvl w:val="0"/>
          <w:numId w:val="1001"/>
        </w:numPr>
      </w:pPr>
      <w:r>
        <w:t xml:space="preserve">Toda la información en cualquier estado del ciclo de vida: creación, captura, recepción, almacenamiento, uso, transmisión, archivado y destrucción.</w:t>
      </w:r>
    </w:p>
    <w:p>
      <w:pPr>
        <w:numPr>
          <w:ilvl w:val="0"/>
          <w:numId w:val="1001"/>
        </w:numPr>
      </w:pPr>
      <w:r>
        <w:t xml:space="preserve">Todo el personal y los terceros con acceso a información de la Entidad.</w:t>
      </w:r>
    </w:p>
    <w:bookmarkEnd w:id="21"/>
    <w:bookmarkStart w:id="27" w:name="principios"/>
    <w:p>
      <w:pPr>
        <w:pStyle w:val="Heading2"/>
      </w:pPr>
      <w:r>
        <w:t xml:space="preserve">3. PRINCIPIOS</w:t>
      </w:r>
    </w:p>
    <w:bookmarkStart w:id="22" w:name="proporcionalidad-de-las-medidas"/>
    <w:p>
      <w:pPr>
        <w:pStyle w:val="Heading3"/>
      </w:pPr>
      <w:r>
        <w:t xml:space="preserve">3.1 Proporcionalidad de las medidas</w:t>
      </w:r>
    </w:p>
    <w:p>
      <w:pPr>
        <w:pStyle w:val="FirstParagraph"/>
      </w:pPr>
      <w:r>
        <w:t xml:space="preserve">Las medidas de protección aplicables a cada conjunto de información serán proporcionales a su clasificación, evitando tanto la sobreprotección innecesaria de información poco sensible como la subprotección de información crítica.</w:t>
      </w:r>
    </w:p>
    <w:bookmarkEnd w:id="22"/>
    <w:bookmarkStart w:id="23" w:name="necesidad-de-saber"/>
    <w:p>
      <w:pPr>
        <w:pStyle w:val="Heading3"/>
      </w:pPr>
      <w:r>
        <w:t xml:space="preserve">3.2 Necesidad de saber</w:t>
      </w:r>
    </w:p>
    <w:p>
      <w:pPr>
        <w:pStyle w:val="FirstParagraph"/>
      </w:pPr>
      <w:r>
        <w:t xml:space="preserve">El acceso a la información se rige por el principio de necesidad de saber, conforme se desarrolla en el documento {{ proyecto.codigo_documento_base }}-102.</w:t>
      </w:r>
    </w:p>
    <w:bookmarkEnd w:id="23"/>
    <w:bookmarkStart w:id="24" w:name="trazabilidad-del-ciclo-de-vida"/>
    <w:p>
      <w:pPr>
        <w:pStyle w:val="Heading3"/>
      </w:pPr>
      <w:r>
        <w:t xml:space="preserve">3.3 Trazabilidad del ciclo de vida</w:t>
      </w:r>
    </w:p>
    <w:p>
      <w:pPr>
        <w:pStyle w:val="FirstParagraph"/>
      </w:pPr>
      <w:r>
        <w:t xml:space="preserve">Toda actuación relevante sobre la información (creación, modificación, transmisión, eliminación) será trazable en función de su clasificación.</w:t>
      </w:r>
    </w:p>
    <w:bookmarkEnd w:id="24"/>
    <w:bookmarkStart w:id="25" w:name="etiquetado-obligatorio"/>
    <w:p>
      <w:pPr>
        <w:pStyle w:val="Heading3"/>
      </w:pPr>
      <w:r>
        <w:t xml:space="preserve">3.4 Etiquetado obligatorio</w:t>
      </w:r>
    </w:p>
    <w:p>
      <w:pPr>
        <w:pStyle w:val="FirstParagraph"/>
      </w:pPr>
      <w:r>
        <w:t xml:space="preserve">Toda información clasificada como sensible llevará un etiquetado claramente visible que permita a su receptor identificar el nivel de protección requerido y las restricciones aplicables.</w:t>
      </w:r>
    </w:p>
    <w:bookmarkEnd w:id="25"/>
    <w:bookmarkStart w:id="26" w:name="responsabilidad-del-propietario"/>
    <w:p>
      <w:pPr>
        <w:pStyle w:val="Heading3"/>
      </w:pPr>
      <w:r>
        <w:t xml:space="preserve">3.5 Responsabilidad del propietario</w:t>
      </w:r>
    </w:p>
    <w:p>
      <w:pPr>
        <w:pStyle w:val="FirstParagraph"/>
      </w:pPr>
      <w:r>
        <w:t xml:space="preserve">Cada conjunto de información tendrá un</w:t>
      </w:r>
      <w:r>
        <w:t xml:space="preserve"> </w:t>
      </w:r>
      <w:r>
        <w:rPr>
          <w:bCs/>
          <w:b/>
        </w:rPr>
        <w:t xml:space="preserve">propietario</w:t>
      </w:r>
      <w:r>
        <w:t xml:space="preserve"> </w:t>
      </w:r>
      <w:r>
        <w:t xml:space="preserve">identificado, responsable de su clasificación, de su mantenimiento y de la autorización de los accesos.</w:t>
      </w:r>
    </w:p>
    <w:bookmarkEnd w:id="26"/>
    <w:bookmarkEnd w:id="27"/>
    <w:bookmarkStart w:id="33" w:name="niveles-de-clasificación"/>
    <w:p>
      <w:pPr>
        <w:pStyle w:val="Heading2"/>
      </w:pPr>
      <w:r>
        <w:t xml:space="preserve">4. NIVELES DE CLASIFICACIÓN</w:t>
      </w:r>
    </w:p>
    <w:p>
      <w:pPr>
        <w:pStyle w:val="FirstParagraph"/>
      </w:pPr>
      <w:r>
        <w:t xml:space="preserve">A los efectos de la presente Política, la información tratada por la Entidad se clasifica en los siguientes niveles, alineados con las dimensiones de seguridad del Anexo I del ENS y con las prácticas habituales del sector:</w:t>
      </w:r>
    </w:p>
    <w:bookmarkStart w:id="28" w:name="pública"/>
    <w:p>
      <w:pPr>
        <w:pStyle w:val="Heading3"/>
      </w:pPr>
      <w:r>
        <w:t xml:space="preserve">4.1 PÚBLICA</w:t>
      </w:r>
    </w:p>
    <w:p>
      <w:pPr>
        <w:pStyle w:val="FirstParagraph"/>
      </w:pPr>
      <w:r>
        <w:rPr>
          <w:bCs/>
          <w:b/>
        </w:rPr>
        <w:t xml:space="preserve">Definición.</w:t>
      </w:r>
      <w:r>
        <w:t xml:space="preserve"> </w:t>
      </w:r>
      <w:r>
        <w:t xml:space="preserve">Información cuya difusión sin restricciones no genera ningún perjuicio para la Entidad ni para sus partes interesadas y que ha sido formalmente autorizada para su difusión pública.</w:t>
      </w:r>
    </w:p>
    <w:p>
      <w:pPr>
        <w:pStyle w:val="BodyText"/>
      </w:pPr>
      <w:r>
        <w:rPr>
          <w:bCs/>
          <w:b/>
        </w:rPr>
        <w:t xml:space="preserve">Ejemplos:</w:t>
      </w:r>
      <w:r>
        <w:t xml:space="preserve"> </w:t>
      </w:r>
      <w:r>
        <w:t xml:space="preserve">comunicaciones de prensa publicadas, información disponible en la página web pública, estadísticas anonimizadas publicadas, normativa interna aprobada para difusión externa.</w:t>
      </w:r>
    </w:p>
    <w:p>
      <w:pPr>
        <w:pStyle w:val="BodyText"/>
      </w:pPr>
      <w:r>
        <w:rPr>
          <w:bCs/>
          <w:b/>
        </w:rPr>
        <w:t xml:space="preserve">Etiqueta sugerida:</w:t>
      </w:r>
      <w:r>
        <w:t xml:space="preserve"> </w:t>
      </w:r>
      <w:r>
        <w:t xml:space="preserve">PÚBLICA</w:t>
      </w:r>
    </w:p>
    <w:bookmarkEnd w:id="28"/>
    <w:bookmarkStart w:id="29" w:name="interna"/>
    <w:p>
      <w:pPr>
        <w:pStyle w:val="Heading3"/>
      </w:pPr>
      <w:r>
        <w:t xml:space="preserve">4.2 INTERNA</w:t>
      </w:r>
    </w:p>
    <w:p>
      <w:pPr>
        <w:pStyle w:val="FirstParagraph"/>
      </w:pPr>
      <w:r>
        <w:rPr>
          <w:bCs/>
          <w:b/>
        </w:rPr>
        <w:t xml:space="preserve">Definición.</w:t>
      </w:r>
      <w:r>
        <w:t xml:space="preserve"> </w:t>
      </w:r>
      <w:r>
        <w:t xml:space="preserve">Información cuyo destinatario natural es el personal de la Entidad y cuya divulgación no autorizada al exterior no produciría un perjuicio significativo, pero cuya difusión amplia tampoco está justificada por las necesidades del servicio.</w:t>
      </w:r>
    </w:p>
    <w:p>
      <w:pPr>
        <w:pStyle w:val="BodyText"/>
      </w:pPr>
      <w:r>
        <w:rPr>
          <w:bCs/>
          <w:b/>
        </w:rPr>
        <w:t xml:space="preserve">Ejemplos:</w:t>
      </w:r>
      <w:r>
        <w:t xml:space="preserve"> </w:t>
      </w:r>
      <w:r>
        <w:t xml:space="preserve">organigramas internos, comunicaciones internas no confidenciales, manuales de procedimiento operativos, normativa interna de uso ordinario.</w:t>
      </w:r>
    </w:p>
    <w:p>
      <w:pPr>
        <w:pStyle w:val="BodyText"/>
      </w:pPr>
      <w:r>
        <w:rPr>
          <w:bCs/>
          <w:b/>
        </w:rPr>
        <w:t xml:space="preserve">Etiqueta sugerida:</w:t>
      </w:r>
      <w:r>
        <w:t xml:space="preserve"> </w:t>
      </w:r>
      <w:r>
        <w:t xml:space="preserve">INTERNA</w:t>
      </w:r>
    </w:p>
    <w:bookmarkEnd w:id="29"/>
    <w:bookmarkStart w:id="30" w:name="confidencial"/>
    <w:p>
      <w:pPr>
        <w:pStyle w:val="Heading3"/>
      </w:pPr>
      <w:r>
        <w:t xml:space="preserve">4.3 CONFIDENCIAL</w:t>
      </w:r>
    </w:p>
    <w:p>
      <w:pPr>
        <w:pStyle w:val="FirstParagraph"/>
      </w:pPr>
      <w:r>
        <w:rPr>
          <w:bCs/>
          <w:b/>
        </w:rPr>
        <w:t xml:space="preserve">Definición.</w:t>
      </w:r>
      <w:r>
        <w:t xml:space="preserve"> </w:t>
      </w:r>
      <w:r>
        <w:t xml:space="preserve">Información cuya divulgación no autorizada produciría un perjuicio relevante para la Entidad, sus partes interesadas o terceros, y cuyo acceso debe restringirse a las personas que la necesiten estrictamente para el desempeño de sus funciones.</w:t>
      </w:r>
    </w:p>
    <w:p>
      <w:pPr>
        <w:pStyle w:val="BodyText"/>
      </w:pPr>
      <w:r>
        <w:rPr>
          <w:bCs/>
          <w:b/>
        </w:rPr>
        <w:t xml:space="preserve">Ejemplos:</w:t>
      </w:r>
      <w:r>
        <w:t xml:space="preserve"> </w:t>
      </w:r>
      <w:r>
        <w:t xml:space="preserve">contratos con clientes y proveedores, información financiera no publicada, planes estratégicos, datos personales de carácter ordinario, información comercial sensible, código fuente de aplicaciones propias, configuraciones detalladas de sistemas.</w:t>
      </w:r>
    </w:p>
    <w:p>
      <w:pPr>
        <w:pStyle w:val="BodyText"/>
      </w:pPr>
      <w:r>
        <w:rPr>
          <w:bCs/>
          <w:b/>
        </w:rPr>
        <w:t xml:space="preserve">Etiqueta sugerida:</w:t>
      </w:r>
      <w:r>
        <w:t xml:space="preserve"> </w:t>
      </w:r>
      <w:r>
        <w:t xml:space="preserve">CONFIDENCIAL</w:t>
      </w:r>
    </w:p>
    <w:bookmarkEnd w:id="30"/>
    <w:bookmarkStart w:id="31" w:name="restringida"/>
    <w:p>
      <w:pPr>
        <w:pStyle w:val="Heading3"/>
      </w:pPr>
      <w:r>
        <w:t xml:space="preserve">4.4 RESTRINGIDA</w:t>
      </w:r>
    </w:p>
    <w:p>
      <w:pPr>
        <w:pStyle w:val="FirstParagraph"/>
      </w:pPr>
      <w:r>
        <w:rPr>
          <w:bCs/>
          <w:b/>
        </w:rPr>
        <w:t xml:space="preserve">Definición.</w:t>
      </w:r>
      <w:r>
        <w:t xml:space="preserve"> </w:t>
      </w:r>
      <w:r>
        <w:t xml:space="preserve">Información de máxima sensibilidad cuya divulgación no autorizada produciría un perjuicio grave, irreversible o de muy difícil reparación para la Entidad, sus partes interesadas o terceros, y cuyo acceso debe restringirse a un número muy reducido de personas debidamente autorizadas.</w:t>
      </w:r>
    </w:p>
    <w:p>
      <w:pPr>
        <w:pStyle w:val="BodyText"/>
      </w:pPr>
      <w:r>
        <w:rPr>
          <w:bCs/>
          <w:b/>
        </w:rPr>
        <w:t xml:space="preserve">Ejemplos:</w:t>
      </w:r>
      <w:r>
        <w:t xml:space="preserve"> </w:t>
      </w:r>
      <w:r>
        <w:t xml:space="preserve">datos personales de categorías especiales conforme al artículo 9 del RGPD, secretos comerciales o industriales, claves criptográficas maestras, información clasificada como nivel ALTO en cualquier dimensión del ENS, información sometida a obligación de secreto profesional.</w:t>
      </w:r>
    </w:p>
    <w:p>
      <w:pPr>
        <w:pStyle w:val="BodyText"/>
      </w:pPr>
      <w:r>
        <w:rPr>
          <w:bCs/>
          <w:b/>
        </w:rPr>
        <w:t xml:space="preserve">Etiqueta sugerida:</w:t>
      </w:r>
      <w:r>
        <w:t xml:space="preserve"> </w:t>
      </w:r>
      <w:r>
        <w:t xml:space="preserve">RESTRINGIDA</w:t>
      </w:r>
    </w:p>
    <w:bookmarkEnd w:id="31"/>
    <w:bookmarkStart w:id="32" w:name="Xea78de7e67d075481669ec4edf4d24e610bdaae"/>
    <w:p>
      <w:pPr>
        <w:pStyle w:val="Heading3"/>
      </w:pPr>
      <w:r>
        <w:t xml:space="preserve">4.5 Correspondencia con las dimensiones del ENS</w:t>
      </w:r>
    </w:p>
    <w:p>
      <w:pPr>
        <w:pStyle w:val="FirstParagraph"/>
      </w:pPr>
      <w:r>
        <w:t xml:space="preserve">A efectos del cumplimiento del ENS, la correspondencia entre los niveles de clasificación de la presente Política y los niveles de las dimensiones de seguridad del Anexo I del ENS será la siguiente: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 de clasificación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Confidencialidad 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Integridad 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Disponibilidad 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Autenticidad 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Trazabilidad 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BAJO/MEDIO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BAJO/MEDIO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MEDIO/ALTO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RESTRINGIDA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</w:tbl>
    <w:p>
      <w:pPr>
        <w:pStyle w:val="BodyText"/>
      </w:pPr>
      <w:r>
        <w:t xml:space="preserve">Esta tabla constituye una guía general; la asignación específica de niveles a cada conjunto de información concreto se realizará en el correspondiente análisis del Anexo I del ENS.</w:t>
      </w:r>
    </w:p>
    <w:bookmarkEnd w:id="32"/>
    <w:bookmarkEnd w:id="33"/>
    <w:bookmarkStart w:id="38" w:name="proceso-de-clasificación"/>
    <w:p>
      <w:pPr>
        <w:pStyle w:val="Heading2"/>
      </w:pPr>
      <w:r>
        <w:t xml:space="preserve">5. PROCESO DE CLASIFICACIÓN</w:t>
      </w:r>
    </w:p>
    <w:bookmarkStart w:id="34" w:name="responsabilidad"/>
    <w:p>
      <w:pPr>
        <w:pStyle w:val="Heading3"/>
      </w:pPr>
      <w:r>
        <w:t xml:space="preserve">5.1 Responsabilidad</w:t>
      </w:r>
    </w:p>
    <w:p>
      <w:pPr>
        <w:pStyle w:val="FirstParagraph"/>
      </w:pPr>
      <w:r>
        <w:t xml:space="preserve">La clasificación inicial de la información corresponde al</w:t>
      </w:r>
      <w:r>
        <w:t xml:space="preserve"> </w:t>
      </w:r>
      <w:r>
        <w:rPr>
          <w:bCs/>
          <w:b/>
        </w:rPr>
        <w:t xml:space="preserve">Responsable de la Información</w:t>
      </w:r>
      <w:r>
        <w:t xml:space="preserve"> </w:t>
      </w:r>
      <w:r>
        <w:t xml:space="preserve">(rol del artículo 11 del ENS), conforme se desarrolla en el documento {{ proyecto.codigo_documento_base }}-101, en coordinación con quien la haya generado o capturado.</w:t>
      </w:r>
    </w:p>
    <w:bookmarkEnd w:id="34"/>
    <w:bookmarkStart w:id="35" w:name="criterios-de-decisión"/>
    <w:p>
      <w:pPr>
        <w:pStyle w:val="Heading3"/>
      </w:pPr>
      <w:r>
        <w:t xml:space="preserve">5.2 Criterios de decisión</w:t>
      </w:r>
    </w:p>
    <w:p>
      <w:pPr>
        <w:pStyle w:val="FirstParagraph"/>
      </w:pPr>
      <w:r>
        <w:t xml:space="preserve">Para clasificar la información, el Responsable de la Información considerará, al menos:</w:t>
      </w:r>
    </w:p>
    <w:p>
      <w:pPr>
        <w:numPr>
          <w:ilvl w:val="0"/>
          <w:numId w:val="1002"/>
        </w:numPr>
      </w:pPr>
      <w:r>
        <w:t xml:space="preserve">La naturaleza intrínseca de la información (datos personales, secretos comerciales, información financiera, etc.).</w:t>
      </w:r>
    </w:p>
    <w:p>
      <w:pPr>
        <w:numPr>
          <w:ilvl w:val="0"/>
          <w:numId w:val="1002"/>
        </w:numPr>
      </w:pPr>
      <w:r>
        <w:t xml:space="preserve">Las obligaciones legales o contractuales aplicables.</w:t>
      </w:r>
    </w:p>
    <w:p>
      <w:pPr>
        <w:numPr>
          <w:ilvl w:val="0"/>
          <w:numId w:val="1002"/>
        </w:numPr>
      </w:pPr>
      <w:r>
        <w:t xml:space="preserve">El impacto potencial de su divulgación no autorizada para la Entidad y para terceros.</w:t>
      </w:r>
    </w:p>
    <w:p>
      <w:pPr>
        <w:numPr>
          <w:ilvl w:val="0"/>
          <w:numId w:val="1002"/>
        </w:numPr>
      </w:pPr>
      <w:r>
        <w:t xml:space="preserve">El periodo de validez de la clasificación, que puede ser limitado en el tiempo (información embargada que pasa a pública en una fecha determinada, por ejemplo).</w:t>
      </w:r>
    </w:p>
    <w:bookmarkEnd w:id="35"/>
    <w:bookmarkStart w:id="36" w:name="revisión-de-la-clasificación"/>
    <w:p>
      <w:pPr>
        <w:pStyle w:val="Heading3"/>
      </w:pPr>
      <w:r>
        <w:t xml:space="preserve">5.3 Revisión de la clasificación</w:t>
      </w:r>
    </w:p>
    <w:p>
      <w:pPr>
        <w:pStyle w:val="FirstParagraph"/>
      </w:pPr>
      <w:r>
        <w:t xml:space="preserve">La clasificación de la información será objeto de revisión cuando:</w:t>
      </w:r>
    </w:p>
    <w:p>
      <w:pPr>
        <w:numPr>
          <w:ilvl w:val="0"/>
          <w:numId w:val="1003"/>
        </w:numPr>
      </w:pPr>
      <w:r>
        <w:t xml:space="preserve">Cambien las circunstancias que motivaron la clasificación inicial.</w:t>
      </w:r>
    </w:p>
    <w:p>
      <w:pPr>
        <w:numPr>
          <w:ilvl w:val="0"/>
          <w:numId w:val="1003"/>
        </w:numPr>
      </w:pPr>
      <w:r>
        <w:t xml:space="preserve">Transcurra el periodo de validez establecido en su caso.</w:t>
      </w:r>
    </w:p>
    <w:p>
      <w:pPr>
        <w:numPr>
          <w:ilvl w:val="0"/>
          <w:numId w:val="1003"/>
        </w:numPr>
      </w:pPr>
      <w:r>
        <w:t xml:space="preserve">Se produzcan modificaciones en el marco legal aplicable.</w:t>
      </w:r>
    </w:p>
    <w:p>
      <w:pPr>
        <w:numPr>
          <w:ilvl w:val="0"/>
          <w:numId w:val="1003"/>
        </w:numPr>
      </w:pPr>
      <w:r>
        <w:t xml:space="preserve">Se proceda a la revisión periódica del Análisis de Riesgos.</w:t>
      </w:r>
    </w:p>
    <w:bookmarkEnd w:id="36"/>
    <w:bookmarkStart w:id="37" w:name="reclasificación"/>
    <w:p>
      <w:pPr>
        <w:pStyle w:val="Heading3"/>
      </w:pPr>
      <w:r>
        <w:t xml:space="preserve">5.4 Reclasificación</w:t>
      </w:r>
    </w:p>
    <w:p>
      <w:pPr>
        <w:pStyle w:val="FirstParagraph"/>
      </w:pPr>
      <w:r>
        <w:t xml:space="preserve">Cualquier persona que considere que una información concreta está clasificada incorrectamente podrá proponer su reclasificación al Responsable de la Información, quien adoptará la decisión motivada que proceda.</w:t>
      </w:r>
    </w:p>
    <w:bookmarkEnd w:id="37"/>
    <w:bookmarkEnd w:id="38"/>
    <w:bookmarkStart w:id="43" w:name="etiquetado"/>
    <w:p>
      <w:pPr>
        <w:pStyle w:val="Heading2"/>
      </w:pPr>
      <w:r>
        <w:t xml:space="preserve">6. ETIQUETADO</w:t>
      </w:r>
    </w:p>
    <w:bookmarkStart w:id="39" w:name="documentos-electrónicos"/>
    <w:p>
      <w:pPr>
        <w:pStyle w:val="Heading3"/>
      </w:pPr>
      <w:r>
        <w:t xml:space="preserve">6.1 Documentos electrónicos</w:t>
      </w:r>
    </w:p>
    <w:p>
      <w:pPr>
        <w:pStyle w:val="FirstParagraph"/>
      </w:pPr>
      <w:r>
        <w:t xml:space="preserve">Los documentos electrónicos clasificados como CONFIDENCIAL o RESTRINGIDO incluirán una marca de clasificación visible en, al menos:</w:t>
      </w:r>
    </w:p>
    <w:p>
      <w:pPr>
        <w:numPr>
          <w:ilvl w:val="0"/>
          <w:numId w:val="1004"/>
        </w:numPr>
      </w:pPr>
      <w:r>
        <w:t xml:space="preserve">La cabecera o el pie de cada página.</w:t>
      </w:r>
    </w:p>
    <w:p>
      <w:pPr>
        <w:numPr>
          <w:ilvl w:val="0"/>
          <w:numId w:val="1004"/>
        </w:numPr>
      </w:pPr>
      <w:r>
        <w:t xml:space="preserve">Los metadatos del documento, cuando el formato lo permita.</w:t>
      </w:r>
    </w:p>
    <w:p>
      <w:pPr>
        <w:pStyle w:val="FirstParagraph"/>
      </w:pPr>
      <w:r>
        <w:t xml:space="preserve">Los documentos clasificados como PÚBLICA o INTERNA podrán llevar marca de clasificación, pero no es obligatorio salvo que lo establezca un procedimiento específico.</w:t>
      </w:r>
    </w:p>
    <w:bookmarkEnd w:id="39"/>
    <w:bookmarkStart w:id="40" w:name="documentos-en-papel"/>
    <w:p>
      <w:pPr>
        <w:pStyle w:val="Heading3"/>
      </w:pPr>
      <w:r>
        <w:t xml:space="preserve">6.2 Documentos en papel</w:t>
      </w:r>
    </w:p>
    <w:p>
      <w:pPr>
        <w:pStyle w:val="FirstParagraph"/>
      </w:pPr>
      <w:r>
        <w:t xml:space="preserve">Los documentos en papel clasificados como CONFIDENCIAL o RESTRINGIDO llevarán la marca de clasificación claramente visible en el anverso y, cuando sean documentos de varias páginas, en cada una de ellas.</w:t>
      </w:r>
    </w:p>
    <w:bookmarkEnd w:id="40"/>
    <w:bookmarkStart w:id="41" w:name="mensajes-de-correo-electrónico"/>
    <w:p>
      <w:pPr>
        <w:pStyle w:val="Heading3"/>
      </w:pPr>
      <w:r>
        <w:t xml:space="preserve">6.3 Mensajes de correo electrónico</w:t>
      </w:r>
    </w:p>
    <w:p>
      <w:pPr>
        <w:pStyle w:val="FirstParagraph"/>
      </w:pPr>
      <w:r>
        <w:t xml:space="preserve">Los mensajes de correo electrónico que contengan información CONFIDENCIAL o RESTRINGIDA incluirán la indicación correspondiente en el asunto del mensaje, mediante prefijos del tipo</w:t>
      </w:r>
      <w:r>
        <w:t xml:space="preserve"> </w:t>
      </w:r>
      <w:r>
        <w:rPr>
          <w:rStyle w:val="VerbatimChar"/>
        </w:rPr>
        <w:t xml:space="preserve">[CONFIDENCIAL]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[RESTRINGIDA]</w:t>
      </w:r>
      <w:r>
        <w:t xml:space="preserve">, y, cuando técnicamente sea posible, llevarán cifrado de extremo a extremo.</w:t>
      </w:r>
    </w:p>
    <w:bookmarkEnd w:id="41"/>
    <w:bookmarkStart w:id="42" w:name="soportes-extraíbles"/>
    <w:p>
      <w:pPr>
        <w:pStyle w:val="Heading3"/>
      </w:pPr>
      <w:r>
        <w:t xml:space="preserve">6.4 Soportes extraíbles</w:t>
      </w:r>
    </w:p>
    <w:p>
      <w:pPr>
        <w:pStyle w:val="FirstParagraph"/>
      </w:pPr>
      <w:r>
        <w:t xml:space="preserve">Todo soporte extraíble (memoria USB, disco duro externo, óptico u otros) que contenga información CONFIDENCIAL o RESTRINGIDA llevará una etiqueta física visible que indique su nivel de clasificación.</w:t>
      </w:r>
    </w:p>
    <w:bookmarkEnd w:id="42"/>
    <w:bookmarkEnd w:id="43"/>
    <w:bookmarkStart w:id="49" w:name="tratamiento-por-estado-del-ciclo-de-vida"/>
    <w:p>
      <w:pPr>
        <w:pStyle w:val="Heading2"/>
      </w:pPr>
      <w:r>
        <w:t xml:space="preserve">7. TRATAMIENTO POR ESTADO DEL CICLO DE VIDA</w:t>
      </w:r>
    </w:p>
    <w:bookmarkStart w:id="44" w:name="almacenamiento"/>
    <w:p>
      <w:pPr>
        <w:pStyle w:val="Heading3"/>
      </w:pPr>
      <w:r>
        <w:t xml:space="preserve">7.1 Almacenamiento</w:t>
      </w:r>
    </w:p>
    <w:p>
      <w:pPr>
        <w:pStyle w:val="FirstParagraph"/>
      </w:pPr>
      <w:r>
        <w:t xml:space="preserve">Las medidas de protección durante el almacenamiento se aplicarán según el siguiente cuadro: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Medidas mínimas de almacenamiento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requisitos específicos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restringido a personal de la Entidad. Sistemas con autenticación.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restringido por necesidad de saber. Cifrado en reposo recomendable. Copias de seguridad cifradas.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RESTRINGIDA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limitado a un número reducido de personas autorizadas. Cifrado obligatorio en reposo. Copias de seguridad cifradas y en ubicación física separada. Trazabilidad completa de los accesos.</w:t>
            </w:r>
          </w:p>
        </w:tc>
      </w:tr>
    </w:tbl>
    <w:bookmarkEnd w:id="44"/>
    <w:bookmarkStart w:id="45" w:name="transmisión"/>
    <w:p>
      <w:pPr>
        <w:pStyle w:val="Heading3"/>
      </w:pPr>
      <w:r>
        <w:t xml:space="preserve">7.2 Transmisión</w:t>
      </w:r>
    </w:p>
    <w:p>
      <w:pPr>
        <w:pStyle w:val="FirstParagraph"/>
      </w:pPr>
      <w:r>
        <w:t xml:space="preserve">La transmisión de información se ajustará al siguiente cuadro: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Medidas mínimas de transmisión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requisitos específicos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Canales corporativos. Cifrado en tránsito recomendable cuando atraviese redes externas.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Cifrado obligatorio en tránsito (TLS 1.2 o superior, VPN, etc.). Verificación de la identidad del destinatario.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RESTRINGIDA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Cifrado obligatorio extremo a extremo. Verificación reforzada del destinatario. Confirmación de recepción. Limitación del número de copias.</w:t>
            </w:r>
          </w:p>
        </w:tc>
      </w:tr>
    </w:tbl>
    <w:bookmarkEnd w:id="45"/>
    <w:bookmarkStart w:id="46" w:name="duplicación"/>
    <w:p>
      <w:pPr>
        <w:pStyle w:val="Heading3"/>
      </w:pPr>
      <w:r>
        <w:t xml:space="preserve">7.3 Duplicación</w:t>
      </w:r>
    </w:p>
    <w:p>
      <w:pPr>
        <w:pStyle w:val="FirstParagraph"/>
      </w:pPr>
      <w:r>
        <w:t xml:space="preserve">Se evitará la creación innecesaria de copias de información clasificada como CONFIDENCIAL o RESTRINGIDA. Cuando sea necesario duplicar dicha información, las copias estarán sujetas a las mismas medidas de protección que el original y serán objeto de control de inventario.</w:t>
      </w:r>
    </w:p>
    <w:bookmarkEnd w:id="46"/>
    <w:bookmarkStart w:id="47" w:name="X0e1ea99740791278d1d60a50bb5256c46d89d31"/>
    <w:p>
      <w:pPr>
        <w:pStyle w:val="Heading3"/>
      </w:pPr>
      <w:r>
        <w:t xml:space="preserve">7.4 Almacenamiento en dispositivos personales</w:t>
      </w:r>
    </w:p>
    <w:p>
      <w:pPr>
        <w:pStyle w:val="FirstParagraph"/>
      </w:pPr>
      <w:r>
        <w:t xml:space="preserve">Queda prohibido el almacenamiento de información clasificada como CONFIDENCIAL o RESTRINGIDA en dispositivos personales del personal, salvo en los supuestos expresamente autorizados por el documento {{ proyecto.codigo_documento_base }}-117 (Política de Trabajo a Distancia y Movilidad) y siempre que se apliquen medidas de protección equivalentes a las exigidas para los dispositivos corporativos.</w:t>
      </w:r>
    </w:p>
    <w:bookmarkEnd w:id="47"/>
    <w:bookmarkStart w:id="48" w:name="limpieza-de-metadatos"/>
    <w:p>
      <w:pPr>
        <w:pStyle w:val="Heading3"/>
      </w:pPr>
      <w:r>
        <w:t xml:space="preserve">7.5 Limpieza de metadatos</w:t>
      </w:r>
    </w:p>
    <w:p>
      <w:pPr>
        <w:pStyle w:val="FirstParagraph"/>
      </w:pPr>
      <w:r>
        <w:t xml:space="preserve">Antes de la difusión externa de un documento, especialmente cuando contenga información sensible, se procederá a la</w:t>
      </w:r>
      <w:r>
        <w:t xml:space="preserve"> </w:t>
      </w:r>
      <w:r>
        <w:rPr>
          <w:bCs/>
          <w:b/>
        </w:rPr>
        <w:t xml:space="preserve">limpieza de metadatos</w:t>
      </w:r>
      <w:r>
        <w:t xml:space="preserve"> </w:t>
      </w:r>
      <w:r>
        <w:t xml:space="preserve">que pudieran revelar información no destinada a la difusión, conforme a la medida mp.info.6 del Anexo II del ENS.</w:t>
      </w:r>
    </w:p>
    <w:bookmarkEnd w:id="48"/>
    <w:bookmarkEnd w:id="49"/>
    <w:bookmarkStart w:id="54" w:name="conservación-y-archivo"/>
    <w:p>
      <w:pPr>
        <w:pStyle w:val="Heading2"/>
      </w:pPr>
      <w:r>
        <w:t xml:space="preserve">8. CONSERVACIÓN Y ARCHIVO</w:t>
      </w:r>
    </w:p>
    <w:bookmarkStart w:id="50" w:name="periodos-de-conservación"/>
    <w:p>
      <w:pPr>
        <w:pStyle w:val="Heading3"/>
      </w:pPr>
      <w:r>
        <w:t xml:space="preserve">8.1 Periodos de conservación</w:t>
      </w:r>
    </w:p>
    <w:p>
      <w:pPr>
        <w:pStyle w:val="FirstParagraph"/>
      </w:pPr>
      <w:r>
        <w:t xml:space="preserve">La información se conservará durante el tiempo estrictamente necesario para los fines para los que ha sido tratada, y en todo caso durante los plazos legalmente establecidos.</w:t>
      </w:r>
    </w:p>
    <w:p>
      <w:pPr>
        <w:pStyle w:val="BodyText"/>
      </w:pPr>
      <w:r>
        <w:t xml:space="preserve">Los periodos de conservación específicos para los principales tipos de información se documentarán en el</w:t>
      </w:r>
      <w:r>
        <w:t xml:space="preserve"> </w:t>
      </w:r>
      <w:r>
        <w:rPr>
          <w:bCs/>
          <w:b/>
        </w:rPr>
        <w:t xml:space="preserve">Calendario de Conservación</w:t>
      </w:r>
      <w:r>
        <w:t xml:space="preserve">, mantenido por el Responsable de la Información en coordinación con el Responsable de la Seguridad y, cuando proceda, con el Delegado de Protección de Datos.</w:t>
      </w:r>
    </w:p>
    <w:bookmarkEnd w:id="50"/>
    <w:bookmarkStart w:id="51" w:name="datos-personales"/>
    <w:p>
      <w:pPr>
        <w:pStyle w:val="Heading3"/>
      </w:pPr>
      <w:r>
        <w:t xml:space="preserve">8.2 Datos personales</w:t>
      </w:r>
    </w:p>
    <w:p>
      <w:pPr>
        <w:pStyle w:val="FirstParagraph"/>
      </w:pPr>
      <w:r>
        <w:t xml:space="preserve">Los plazos de conservación de los datos personales atenderán a las exigencias del principio de limitación del plazo de conservación previsto en el artículo 5.1.e) del RGPD, así como a las obligaciones legales específicas aplicables.</w:t>
      </w:r>
    </w:p>
    <w:bookmarkEnd w:id="51"/>
    <w:bookmarkStart w:id="52" w:name="bloqueo"/>
    <w:p>
      <w:pPr>
        <w:pStyle w:val="Heading3"/>
      </w:pPr>
      <w:r>
        <w:t xml:space="preserve">8.3 Bloqueo</w:t>
      </w:r>
    </w:p>
    <w:p>
      <w:pPr>
        <w:pStyle w:val="FirstParagraph"/>
      </w:pPr>
      <w:r>
        <w:t xml:space="preserve">En el caso de los datos personales, transcurridos los plazos de conservación pertinentes, los datos serán bloqueados conforme al artículo 32 de la LOPDGDD, manteniéndose a disposición exclusiva de jueces, tribunales, Ministerio Fiscal o Administraciones Públicas competentes durante el plazo de prescripción de las acciones legales que pudieran derivarse del tratamiento, transcurrido el cual procederá a la supresión definitiva.</w:t>
      </w:r>
    </w:p>
    <w:bookmarkEnd w:id="52"/>
    <w:bookmarkStart w:id="53" w:name="archivo-histórico"/>
    <w:p>
      <w:pPr>
        <w:pStyle w:val="Heading3"/>
      </w:pPr>
      <w:r>
        <w:t xml:space="preserve">8.4 Archivo histórico</w:t>
      </w:r>
    </w:p>
    <w:p>
      <w:pPr>
        <w:pStyle w:val="FirstParagraph"/>
      </w:pPr>
      <w:r>
        <w:t xml:space="preserve">La información que deba conservarse por su valor histórico, jurídico, contable o documental se transferirá al archivo histórico de la Entidad conforme a los procedimientos correspondientes, manteniendo el nivel de clasificación que corresponda en cada momento.</w:t>
      </w:r>
    </w:p>
    <w:bookmarkEnd w:id="53"/>
    <w:bookmarkEnd w:id="54"/>
    <w:bookmarkStart w:id="59" w:name="destrucción-y-eliminación"/>
    <w:p>
      <w:pPr>
        <w:pStyle w:val="Heading2"/>
      </w:pPr>
      <w:r>
        <w:t xml:space="preserve">9. DESTRUCCIÓN Y ELIMINACIÓN</w:t>
      </w:r>
    </w:p>
    <w:bookmarkStart w:id="55" w:name="principio-general"/>
    <w:p>
      <w:pPr>
        <w:pStyle w:val="Heading3"/>
      </w:pPr>
      <w:r>
        <w:t xml:space="preserve">9.1 Principio general</w:t>
      </w:r>
    </w:p>
    <w:p>
      <w:pPr>
        <w:pStyle w:val="FirstParagraph"/>
      </w:pPr>
      <w:r>
        <w:t xml:space="preserve">La eliminación de la información se realizará mediante procedimientos que garanticen la imposibilidad de su recuperación, en proporción a su nivel de clasificación.</w:t>
      </w:r>
    </w:p>
    <w:bookmarkEnd w:id="55"/>
    <w:bookmarkStart w:id="56" w:name="métodos-por-nivel"/>
    <w:p>
      <w:pPr>
        <w:pStyle w:val="Heading3"/>
      </w:pPr>
      <w:r>
        <w:t xml:space="preserve">9.2 Métodos por nivel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Métodos admitidos de destrucción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Eliminación ordinaria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Eliminación ordinaria. En soportes electrónicos: borrado lógico.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Soportes electrónicos: borrado seguro mediante sobreescritura múltiple o desmagnetización. Papel: trituración con corte cruzado de seguridad mínima nivel P-3 conforme a UNE-EN 15713.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RESTRINGIDA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Soportes electrónicos: destrucción física del soporte o borrado seguro acreditado. Papel: trituración nivel P-5 o superior. Acta de destrucción documentada y firmada.</w:t>
            </w:r>
          </w:p>
        </w:tc>
      </w:tr>
    </w:tbl>
    <w:bookmarkEnd w:id="56"/>
    <w:bookmarkStart w:id="57" w:name="X69002dfaf23ec49cc5f8e1f615c70e36c3a63d6"/>
    <w:p>
      <w:pPr>
        <w:pStyle w:val="Heading3"/>
      </w:pPr>
      <w:r>
        <w:t xml:space="preserve">9.3 Destrucción por proveedores especializados</w:t>
      </w:r>
    </w:p>
    <w:p>
      <w:pPr>
        <w:pStyle w:val="FirstParagraph"/>
      </w:pPr>
      <w:r>
        <w:t xml:space="preserve">Cuando la destrucción se confíe a proveedores especializados, estos cumplirán las exigencias del documento {{ proyecto.codigo_documento_base }}-107 (Política de Seguridad en las Relaciones con Proveedores) y emitirán los correspondientes certificados de destrucción.</w:t>
      </w:r>
    </w:p>
    <w:bookmarkEnd w:id="57"/>
    <w:bookmarkStart w:id="58" w:name="datos-personales-1"/>
    <w:p>
      <w:pPr>
        <w:pStyle w:val="Heading3"/>
      </w:pPr>
      <w:r>
        <w:t xml:space="preserve">9.4 Datos personales</w:t>
      </w:r>
    </w:p>
    <w:p>
      <w:pPr>
        <w:pStyle w:val="FirstParagraph"/>
      </w:pPr>
      <w:r>
        <w:t xml:space="preserve">La eliminación de datos personales atenderá a lo establecido en el artículo 17 del RGPD (derecho de supresión) y al apartado 8.3 anterior en lo relativo al bloqueo previo a la supresión definitiva.</w:t>
      </w:r>
    </w:p>
    <w:bookmarkEnd w:id="58"/>
    <w:bookmarkEnd w:id="59"/>
    <w:bookmarkStart w:id="60" w:name="firma-electrónica-y-sellos-de-tiempo"/>
    <w:p>
      <w:pPr>
        <w:pStyle w:val="Heading2"/>
      </w:pPr>
      <w:r>
        <w:t xml:space="preserve">10. FIRMA ELECTRÓNICA Y SELLOS DE TIEMPO</w:t>
      </w:r>
    </w:p>
    <w:p>
      <w:pPr>
        <w:pStyle w:val="FirstParagraph"/>
      </w:pPr>
      <w:r>
        <w:t xml:space="preserve">Cuando la integridad o autenticidad de la información así lo requieran, se utilizará la firma electrónica conforme a las exigencias del Reglamento (UE) 910/2014 (eIDAS) y de la guía CCN-STIC 807 Anexo 1 sobre Prestadores de Servicios de Confianza.</w:t>
      </w:r>
    </w:p>
    <w:p>
      <w:pPr>
        <w:pStyle w:val="BodyText"/>
      </w:pPr>
      <w:r>
        <w:t xml:space="preserve">Los sellos de tiempo cualificados se utilizarán cuando sea necesario acreditar fehacientemente la existencia de la información en una fecha y hora determinadas, especialmente para evidencias en procedimientos administrativos o judiciales.</w:t>
      </w:r>
    </w:p>
    <w:p>
      <w:pPr>
        <w:pStyle w:val="BodyText"/>
      </w:pPr>
      <w:r>
        <w:t xml:space="preserve">La gestión operativa de la firma electrónica y los sellos de tiempo se desarrolla en el documento {{ proyecto.codigo_documento_base }}-119 (Política de Firma Electrónica y Sellos de Tiempo).</w:t>
      </w:r>
    </w:p>
    <w:bookmarkEnd w:id="60"/>
    <w:bookmarkStart w:id="61" w:name="incumplimiento"/>
    <w:p>
      <w:pPr>
        <w:pStyle w:val="Heading2"/>
      </w:pPr>
      <w:r>
        <w:t xml:space="preserve">11. INCUMPLIMIENTO</w:t>
      </w:r>
    </w:p>
    <w:p>
      <w:pPr>
        <w:pStyle w:val="FirstParagraph"/>
      </w:pPr>
      <w:r>
        <w:t xml:space="preserve">El tratamiento de información en contradicción con la presente Política, en particular el tratamiento, copia, transmisión o difusión no autorizada de información clasificada como CONFIDENCIAL o RESTRINGIDA, podrá dar lugar a la apertura del correspondiente expediente disciplinario, conforme al régimen sancionador interno aplicable y a la legislación laboral o estatutaria vigente, sin perjuicio de las responsabilidades civiles, administrativas o penales que correspondan.</w:t>
      </w:r>
    </w:p>
    <w:bookmarkEnd w:id="61"/>
    <w:bookmarkStart w:id="62" w:name="aprobación-revisión-y-vigencia"/>
    <w:p>
      <w:pPr>
        <w:pStyle w:val="Heading2"/>
      </w:pPr>
      <w:r>
        <w:t xml:space="preserve">12. APROBACIÓN, REVISIÓN Y VIGENCIA</w:t>
      </w:r>
    </w:p>
    <w:p>
      <w:pPr>
        <w:pStyle w:val="FirstParagraph"/>
      </w:pPr>
      <w:r>
        <w:t xml:space="preserve">El presente documento ha sido aprobado por {{ cliente.organo_aprobador_politicas }} el {{ proyecto.fecha_aprobacion_inicial }} y será objeto de revisión, al menos, con la misma periodicidad que la Política de Seguridad de la Información de la que es desarrollo.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}}-108 — Versión {{ proyecto.version_actual }} — Clasificación: INTERNA</w:t>
      </w:r>
    </w:p>
    <w:bookmarkEnd w:id="62"/>
    <w:bookmarkEnd w:id="63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E-104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E-104 · Política de Clasificación de la Información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2026-04-14T18:00:37Z</dcterms:created>
  <dcterms:modified xsi:type="dcterms:W3CDTF">2026-04-14T18:00:37Z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{{ cliente.organo_aprobador_politicas }}</vt:lpwstr>
  </property>
  <property fmtid="{D5CDD505-2E9C-101B-9397-08002B2CF9AE}" pid="3" name="clasificacion">
    <vt:lpwstr>INTERNA</vt:lpwstr>
  </property>
  <property fmtid="{D5CDD505-2E9C-101B-9397-08002B2CF9AE}" pid="4" name="codigo_documento">
    <vt:lpwstr>{{ proyecto.codigo_documento_base }}-108</vt:lpwstr>
  </property>
  <property fmtid="{D5CDD505-2E9C-101B-9397-08002B2CF9AE}" pid="5" name="fecha_aprobacion">
    <vt:lpwstr>{{ proyecto.fecha_aprobacion_inicial }}</vt:lpwstr>
  </property>
  <property fmtid="{D5CDD505-2E9C-101B-9397-08002B2CF9AE}" pid="6" name="fecha_proxima_revision">
    <vt:lpwstr>{{ proyecto.proxima_revision }}</vt:lpwstr>
  </property>
  <property fmtid="{D5CDD505-2E9C-101B-9397-08002B2CF9AE}" pid="7" name="propietario">
    <vt:lpwstr>{{ responsables.responsable_seguridad.cargo }}</vt:lpwstr>
  </property>
  <property fmtid="{D5CDD505-2E9C-101B-9397-08002B2CF9AE}" pid="8" name="titulo">
    <vt:lpwstr>Política de Clasificación y Tratamiento de la Información</vt:lpwstr>
  </property>
  <property fmtid="{D5CDD505-2E9C-101B-9397-08002B2CF9AE}" pid="9" name="version">
    <vt:lpwstr>{{ proyecto.version_actual }}</vt:lpwstr>
  </property>
</Properties>
</file>