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d8126a15ee101c5c8d1b58fd5e5f79b62eb2f5"/>
    <w:p>
      <w:pPr>
        <w:pStyle w:val="Heading1"/>
      </w:pPr>
      <w:r>
        <w:t xml:space="preserve">POLÍTICA DE COPIAS DE SEGURIDAD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}}-106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los principios y requisitos mínimos aplicables a la realización, protección, verificación y restauración de copias de seguridad de los datos, configuraciones y sistemas comprendidos en el alcance del SGSI de {{ cliente.razon_social }}, en cumplimiento de la medida</w:t>
      </w:r>
      <w:r>
        <w:t xml:space="preserve"> </w:t>
      </w:r>
      <w:r>
        <w:rPr>
          <w:bCs/>
          <w:b/>
        </w:rPr>
        <w:t xml:space="preserve">mp.info.9 (Copias de seguridad)</w:t>
      </w:r>
      <w:r>
        <w:t xml:space="preserve"> </w:t>
      </w:r>
      <w:r>
        <w:t xml:space="preserve">del Anexo II del Real Decreto 311/2022.</w:t>
      </w:r>
    </w:p>
    <w:bookmarkEnd w:id="20"/>
    <w:bookmarkStart w:id="24" w:name="principios"/>
    <w:p>
      <w:pPr>
        <w:pStyle w:val="Heading2"/>
      </w:pPr>
      <w:r>
        <w:t xml:space="preserve">2. PRINCIPIOS</w:t>
      </w:r>
    </w:p>
    <w:bookmarkStart w:id="21" w:name="estrategia-3-2-1-1-0"/>
    <w:p>
      <w:pPr>
        <w:pStyle w:val="Heading3"/>
      </w:pPr>
      <w:r>
        <w:t xml:space="preserve">2.1 Estrategia 3-2-1-1-0</w:t>
      </w:r>
    </w:p>
    <w:p>
      <w:pPr>
        <w:pStyle w:val="FirstParagraph"/>
      </w:pPr>
      <w:r>
        <w:t xml:space="preserve">La Entidad adoptará como mínimo la estrategia de copia</w:t>
      </w:r>
      <w:r>
        <w:t xml:space="preserve"> </w:t>
      </w:r>
      <w:r>
        <w:rPr>
          <w:bCs/>
          <w:b/>
        </w:rPr>
        <w:t xml:space="preserve">3-2-1-1-0</w:t>
      </w:r>
      <w:r>
        <w:t xml:space="preserve">: tres copias en total (incluido el original), en al menos dos soportes distintos, con al menos una copia fuera de las instalaciones principales, al menos una copia inmutable o desconectada de la red (air-gapped), y cero errores verificados en las pruebas de restauración.</w:t>
      </w:r>
    </w:p>
    <w:bookmarkEnd w:id="21"/>
    <w:bookmarkStart w:id="22" w:name="cifrado-obligatorio"/>
    <w:p>
      <w:pPr>
        <w:pStyle w:val="Heading3"/>
      </w:pPr>
      <w:r>
        <w:t xml:space="preserve">2.2 Cifrado obligatorio</w:t>
      </w:r>
    </w:p>
    <w:p>
      <w:pPr>
        <w:pStyle w:val="FirstParagraph"/>
      </w:pPr>
      <w:r>
        <w:t xml:space="preserve">Todas las copias de seguridad se almacenarán cifradas conforme a la Política Criptográfica ({{ proyecto.codigo_documento_base }}-107).</w:t>
      </w:r>
    </w:p>
    <w:bookmarkEnd w:id="22"/>
    <w:bookmarkStart w:id="23" w:name="proporcionalidad"/>
    <w:p>
      <w:pPr>
        <w:pStyle w:val="Heading3"/>
      </w:pPr>
      <w:r>
        <w:t xml:space="preserve">2.3 Proporcionalidad</w:t>
      </w:r>
    </w:p>
    <w:p>
      <w:pPr>
        <w:pStyle w:val="FirstParagraph"/>
      </w:pPr>
      <w:r>
        <w:t xml:space="preserve">La frecuencia, retención y redundancia de las copias serán proporcionales a la criticidad de los datos protegidos y a los objetivos de recuperación (RTO/RPO) establecidos en el Análisis de Impacto en el Negocio (BIA).</w:t>
      </w:r>
    </w:p>
    <w:bookmarkEnd w:id="23"/>
    <w:bookmarkEnd w:id="24"/>
    <w:bookmarkStart w:id="25" w:name="requisitos-mínimos-por-categoría-ens"/>
    <w:p>
      <w:pPr>
        <w:pStyle w:val="Heading2"/>
      </w:pPr>
      <w:r>
        <w:t xml:space="preserve">3. REQUISITOS MÍNIMOS POR CATEGORÍA ENS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Frecuencia mínima datos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Diaria + incremental cada 4h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Retención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Copia offsite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Copia inmutable/air-gapped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Obligatoria 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Obligatoria semanal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de restauración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Cifrado en reposo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</w:t>
            </w:r>
          </w:p>
        </w:tc>
      </w:tr>
    </w:tbl>
    <w:bookmarkEnd w:id="25"/>
    <w:bookmarkStart w:id="26" w:name="verificación-de-integridad"/>
    <w:p>
      <w:pPr>
        <w:pStyle w:val="Heading2"/>
      </w:pPr>
      <w:r>
        <w:t xml:space="preserve">4. VERIFICACIÓN DE INTEGRIDAD</w:t>
      </w:r>
    </w:p>
    <w:p>
      <w:pPr>
        <w:pStyle w:val="FirstParagraph"/>
      </w:pPr>
      <w:r>
        <w:t xml:space="preserve">Cada copia se acompañará de un valor hash SHA-256 calculado en el momento de su creación. Los sistemas de copia verificarán automáticamente los hashes con periodicidad semanal y alertarán ante cualquier discrepancia.</w:t>
      </w:r>
    </w:p>
    <w:bookmarkEnd w:id="26"/>
    <w:bookmarkStart w:id="27" w:name="protección-frente-a-ransomware"/>
    <w:p>
      <w:pPr>
        <w:pStyle w:val="Heading2"/>
      </w:pPr>
      <w:r>
        <w:t xml:space="preserve">5. PROTECCIÓN FRENTE A RANSOMWARE</w:t>
      </w:r>
    </w:p>
    <w:p>
      <w:pPr>
        <w:pStyle w:val="FirstParagraph"/>
      </w:pPr>
      <w:r>
        <w:t xml:space="preserve">Al menos una copia de cada dato crítico se almacenará en un sistema</w:t>
      </w:r>
      <w:r>
        <w:t xml:space="preserve"> </w:t>
      </w:r>
      <w:r>
        <w:rPr>
          <w:bCs/>
          <w:b/>
        </w:rPr>
        <w:t xml:space="preserve">inmutable</w:t>
      </w:r>
      <w:r>
        <w:t xml:space="preserve"> </w:t>
      </w:r>
      <w:r>
        <w:t xml:space="preserve">(object lock en modo compliance, cintas con protección de escritura, o snapshots inmutables) durante todo el periodo de retención, para garantizar la recuperabilidad incluso en caso de compromiso total del entorno productivo.</w:t>
      </w:r>
    </w:p>
    <w:bookmarkEnd w:id="27"/>
    <w:bookmarkStart w:id="28" w:name="responsabilidades"/>
    <w:p>
      <w:pPr>
        <w:pStyle w:val="Heading2"/>
      </w:pPr>
      <w:r>
        <w:t xml:space="preserve">6. RESPONSABILIDADES</w:t>
      </w:r>
    </w:p>
    <w:p>
      <w:pPr>
        <w:pStyle w:val="FirstParagraph"/>
      </w:pPr>
      <w:r>
        <w:t xml:space="preserve">El Responsable del Sistema es responsable de la operación diaria de las copias. El Responsable de la Seguridad supervisa el cumplimiento de esta Política y revisa los resultados de las pruebas de restauración.</w:t>
      </w:r>
    </w:p>
    <w:bookmarkEnd w:id="28"/>
    <w:bookmarkStart w:id="29" w:name="procedimiento-operativo"/>
    <w:p>
      <w:pPr>
        <w:pStyle w:val="Heading2"/>
      </w:pPr>
      <w:r>
        <w:t xml:space="preserve">7. PROCEDIMIENTO OPERATIVO</w:t>
      </w:r>
    </w:p>
    <w:p>
      <w:pPr>
        <w:pStyle w:val="FirstParagraph"/>
      </w:pPr>
      <w:r>
        <w:t xml:space="preserve">El detalle operativo de las copias (programación, herramientas, matrices por tipo de dato, pruebas de restauración, registros) se desarrolla en el procedimiento {{ proyecto.codigo_documento_base }}-207 (Procedimiento de Copias de Seguridad).</w:t>
      </w:r>
    </w:p>
    <w:bookmarkEnd w:id="29"/>
    <w:bookmarkStart w:id="30" w:name="aprobación-revisión-y-vigencia"/>
    <w:p>
      <w:pPr>
        <w:pStyle w:val="Heading2"/>
      </w:pPr>
      <w:r>
        <w:t xml:space="preserve">8. APROBACIÓN, REVISIÓN Y VIGENCIA</w:t>
      </w:r>
    </w:p>
    <w:p>
      <w:pPr>
        <w:pStyle w:val="FirstParagraph"/>
      </w:pPr>
      <w:r>
        <w:t xml:space="preserve">Aprobada por {{ cliente.organo_aprobador_politicas }} el {{ proyecto.fecha_aprobacion_inicial }}. Revisión anual.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}}-106 — Versión {{ proyecto.version_actual }} — Clasificación: INTERNA</w:t>
      </w:r>
    </w:p>
    <w:bookmarkEnd w:id="30"/>
    <w:bookmarkEnd w:id="31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E-106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E-106 · Política de Seguridad Física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2026-04-14T18:00:37Z</dcterms:created>
  <dcterms:modified xsi:type="dcterms:W3CDTF">2026-04-14T18:00:37Z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robado_por">
    <vt:lpwstr>{{ cliente.organo_aprobador_politicas }}</vt:lpwstr>
  </property>
  <property fmtid="{D5CDD505-2E9C-101B-9397-08002B2CF9AE}" pid="3" name="clasificacion">
    <vt:lpwstr>INTERNA</vt:lpwstr>
  </property>
  <property fmtid="{D5CDD505-2E9C-101B-9397-08002B2CF9AE}" pid="4" name="codigo_documento">
    <vt:lpwstr>{{ proyecto.codigo_documento_base }}-106</vt:lpwstr>
  </property>
  <property fmtid="{D5CDD505-2E9C-101B-9397-08002B2CF9AE}" pid="5" name="fecha_aprobacion">
    <vt:lpwstr>{{ proyecto.fecha_aprobacion_inicial }}</vt:lpwstr>
  </property>
  <property fmtid="{D5CDD505-2E9C-101B-9397-08002B2CF9AE}" pid="6" name="propietario">
    <vt:lpwstr>{{ responsables.responsable_seguridad.cargo }}</vt:lpwstr>
  </property>
  <property fmtid="{D5CDD505-2E9C-101B-9397-08002B2CF9AE}" pid="7" name="titulo">
    <vt:lpwstr>Política de Copias de Seguridad</vt:lpwstr>
  </property>
  <property fmtid="{D5CDD505-2E9C-101B-9397-08002B2CF9AE}" pid="8" name="version">
    <vt:lpwstr>{{ proyecto.version_actual }}</vt:lpwstr>
  </property>
</Properties>
</file>