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5c793d561298011af1cae87cfcf8f3bc84ec898"/>
    <w:p>
      <w:pPr>
        <w:pStyle w:val="Heading1"/>
      </w:pPr>
      <w:r>
        <w:t xml:space="preserve">POLÍTICA DE CONTINUIDAD DEL SERVICIO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}}-104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documento establece los principios, criterios y compromisos de {{ cliente.razon_social }} en materia de continuidad de los servicios y recuperación ante desastres, con la finalidad de garantizar que, ante una disrupción significativa, los servicios esenciales puedan mantenerse o restaurarse en niveles aceptables y dentro de los plazos comprometidos con las partes interesadas.</w:t>
      </w:r>
    </w:p>
    <w:p>
      <w:pPr>
        <w:pStyle w:val="BodyText"/>
      </w:pPr>
      <w:r>
        <w:t xml:space="preserve">Esta Política da cumplimiento a las medidas</w:t>
      </w:r>
      <w:r>
        <w:t xml:space="preserve"> </w:t>
      </w:r>
      <w:r>
        <w:rPr>
          <w:bCs/>
          <w:b/>
        </w:rPr>
        <w:t xml:space="preserve">op.cont.1 (Análisis de impacto)</w:t>
      </w:r>
      <w:r>
        <w:t xml:space="preserve">,</w:t>
      </w:r>
      <w:r>
        <w:t xml:space="preserve"> </w:t>
      </w:r>
      <w:r>
        <w:rPr>
          <w:bCs/>
          <w:b/>
        </w:rPr>
        <w:t xml:space="preserve">op.cont.2 (Plan de continuidad)</w:t>
      </w:r>
      <w:r>
        <w:t xml:space="preserve">,</w:t>
      </w:r>
      <w:r>
        <w:t xml:space="preserve"> </w:t>
      </w:r>
      <w:r>
        <w:rPr>
          <w:bCs/>
          <w:b/>
        </w:rPr>
        <w:t xml:space="preserve">op.cont.3 (Pruebas periódicas)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op.cont.4 (Medios alternativos)</w:t>
      </w:r>
      <w:r>
        <w:t xml:space="preserve"> </w:t>
      </w:r>
      <w:r>
        <w:t xml:space="preserve">del Anexo II del Real Decreto 311/2022, así como, supletoriamente, a las directrices de la norma UNE-EN ISO 22301:2019 sobre Sistemas de Gestión de la Continuidad del Negocio.</w:t>
      </w:r>
    </w:p>
    <w:bookmarkEnd w:id="20"/>
    <w:bookmarkStart w:id="21" w:name="ámbito-de-aplicación"/>
    <w:p>
      <w:pPr>
        <w:pStyle w:val="Heading2"/>
      </w:pPr>
      <w:r>
        <w:t xml:space="preserve">2. ÁMBITO DE APLICACIÓN</w:t>
      </w:r>
    </w:p>
    <w:p>
      <w:pPr>
        <w:pStyle w:val="FirstParagraph"/>
      </w:pPr>
      <w:r>
        <w:t xml:space="preserve">La presente Política se aplica a la totalidad de los servicios y sistemas comprendidos en el alcance del SGSI, conforme se define en el documento {{ proyecto.codigo_documento_base }}-100, y a todos los procesos, recursos humanos, infraestructuras, terceros y elementos de cualquier naturaleza que sean necesarios para la prestación de dichos servicios.</w:t>
      </w:r>
    </w:p>
    <w:bookmarkEnd w:id="21"/>
    <w:bookmarkStart w:id="26" w:name="principios-de-continuidad"/>
    <w:p>
      <w:pPr>
        <w:pStyle w:val="Heading2"/>
      </w:pPr>
      <w:r>
        <w:t xml:space="preserve">3. PRINCIPIOS DE CONTINUIDAD</w:t>
      </w:r>
    </w:p>
    <w:bookmarkStart w:id="22" w:name="proporcionalidad"/>
    <w:p>
      <w:pPr>
        <w:pStyle w:val="Heading3"/>
      </w:pPr>
      <w:r>
        <w:t xml:space="preserve">3.1 Proporcionalidad</w:t>
      </w:r>
    </w:p>
    <w:p>
      <w:pPr>
        <w:pStyle w:val="FirstParagraph"/>
      </w:pPr>
      <w:r>
        <w:t xml:space="preserve">Las medidas de continuidad serán proporcionales a la criticidad de los servicios, valorada conforme a los criterios del Anexo I del ENS y al análisis de impacto en el negocio.</w:t>
      </w:r>
    </w:p>
    <w:bookmarkEnd w:id="22"/>
    <w:bookmarkStart w:id="23" w:name="anticipación"/>
    <w:p>
      <w:pPr>
        <w:pStyle w:val="Heading3"/>
      </w:pPr>
      <w:r>
        <w:t xml:space="preserve">3.2 Anticipación</w:t>
      </w:r>
    </w:p>
    <w:p>
      <w:pPr>
        <w:pStyle w:val="FirstParagraph"/>
      </w:pPr>
      <w:r>
        <w:t xml:space="preserve">La Entidad actuará anticipándose a los escenarios de disrupción razonablemente previsibles, mediante la identificación temprana de amenazas, la evaluación de su impacto potencial y la planificación de las respuestas.</w:t>
      </w:r>
    </w:p>
    <w:bookmarkEnd w:id="23"/>
    <w:bookmarkStart w:id="24" w:name="recuperación-priorizada"/>
    <w:p>
      <w:pPr>
        <w:pStyle w:val="Heading3"/>
      </w:pPr>
      <w:r>
        <w:t xml:space="preserve">3.3 Recuperación priorizada</w:t>
      </w:r>
    </w:p>
    <w:p>
      <w:pPr>
        <w:pStyle w:val="FirstParagraph"/>
      </w:pPr>
      <w:r>
        <w:t xml:space="preserve">En caso de disrupción, la recuperación de los servicios se realizará atendiendo a su criticidad, comenzando por los servicios esenciales y continuando por los menos críticos hasta restablecer la operación normal.</w:t>
      </w:r>
    </w:p>
    <w:bookmarkEnd w:id="24"/>
    <w:bookmarkStart w:id="25" w:name="mejora-continua"/>
    <w:p>
      <w:pPr>
        <w:pStyle w:val="Heading3"/>
      </w:pPr>
      <w:r>
        <w:t xml:space="preserve">3.4 Mejora continua</w:t>
      </w:r>
    </w:p>
    <w:p>
      <w:pPr>
        <w:pStyle w:val="FirstParagraph"/>
      </w:pPr>
      <w:r>
        <w:t xml:space="preserve">Los planes de continuidad serán objeto de revisión, prueba y mejora continua, integrándose en el ciclo PDCA del SGSI.</w:t>
      </w:r>
    </w:p>
    <w:bookmarkEnd w:id="25"/>
    <w:bookmarkEnd w:id="26"/>
    <w:bookmarkStart w:id="30" w:name="Xf142c29b3beacabaf48ee821f9c6539287d6a77"/>
    <w:p>
      <w:pPr>
        <w:pStyle w:val="Heading2"/>
      </w:pPr>
      <w:r>
        <w:t xml:space="preserve">4. ANÁLISIS DE IMPACTO EN EL NEGOCIO [op.cont.1]</w:t>
      </w:r>
    </w:p>
    <w:bookmarkStart w:id="27" w:name="realización-del-análisis"/>
    <w:p>
      <w:pPr>
        <w:pStyle w:val="Heading3"/>
      </w:pPr>
      <w:r>
        <w:t xml:space="preserve">4.1 Realización del análisis</w:t>
      </w:r>
    </w:p>
    <w:p>
      <w:pPr>
        <w:pStyle w:val="FirstParagraph"/>
      </w:pPr>
      <w:r>
        <w:t xml:space="preserve">La Entidad realizará y mantendrá actualizado un</w:t>
      </w:r>
      <w:r>
        <w:t xml:space="preserve"> </w:t>
      </w:r>
      <w:r>
        <w:rPr>
          <w:bCs/>
          <w:b/>
        </w:rPr>
        <w:t xml:space="preserve">Análisis de Impacto en el Negocio</w:t>
      </w:r>
      <w:r>
        <w:t xml:space="preserve"> </w:t>
      </w:r>
      <w:r>
        <w:t xml:space="preserve">(en adelante,</w:t>
      </w:r>
      <w:r>
        <w:t xml:space="preserve"> </w:t>
      </w:r>
      <w:r>
        <w:t xml:space="preserve">“</w:t>
      </w:r>
      <w:r>
        <w:t xml:space="preserve">BIA</w:t>
      </w:r>
      <w:r>
        <w:t xml:space="preserve">”</w:t>
      </w:r>
      <w:r>
        <w:t xml:space="preserve">, del inglés</w:t>
      </w:r>
      <w:r>
        <w:t xml:space="preserve"> </w:t>
      </w:r>
      <w:r>
        <w:rPr>
          <w:iCs/>
          <w:i/>
        </w:rPr>
        <w:t xml:space="preserve">Business Impact Analysis</w:t>
      </w:r>
      <w:r>
        <w:t xml:space="preserve">) que identifique:</w:t>
      </w:r>
    </w:p>
    <w:p>
      <w:pPr>
        <w:numPr>
          <w:ilvl w:val="0"/>
          <w:numId w:val="1001"/>
        </w:numPr>
      </w:pPr>
      <w:r>
        <w:t xml:space="preserve">Los procesos y servicios críticos para el cumplimiento de la misión de la Entidad.</w:t>
      </w:r>
    </w:p>
    <w:p>
      <w:pPr>
        <w:numPr>
          <w:ilvl w:val="0"/>
          <w:numId w:val="1001"/>
        </w:numPr>
      </w:pPr>
      <w:r>
        <w:t xml:space="preserve">Los recursos humanos, tecnológicos, físicos y de información necesarios para su prestación.</w:t>
      </w:r>
    </w:p>
    <w:p>
      <w:pPr>
        <w:numPr>
          <w:ilvl w:val="0"/>
          <w:numId w:val="1001"/>
        </w:numPr>
      </w:pPr>
      <w:r>
        <w:t xml:space="preserve">El impacto que produciría su interrupción a lo largo del tiempo, expresado en términos operativos, económicos, reputacionales, legales y sobre las partes interesadas.</w:t>
      </w:r>
    </w:p>
    <w:p>
      <w:pPr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Cs/>
          <w:b/>
        </w:rPr>
        <w:t xml:space="preserve">objetivos de tiempo de recuperación</w:t>
      </w:r>
      <w:r>
        <w:t xml:space="preserve"> </w:t>
      </w:r>
      <w:r>
        <w:t xml:space="preserve">(RTO –</w:t>
      </w:r>
      <w:r>
        <w:t xml:space="preserve"> </w:t>
      </w:r>
      <w:r>
        <w:rPr>
          <w:iCs/>
          <w:i/>
        </w:rPr>
        <w:t xml:space="preserve">Recovery Time Objective</w:t>
      </w:r>
      <w:r>
        <w:t xml:space="preserve">) máximos admisibles para cada servicio crítico.</w:t>
      </w:r>
    </w:p>
    <w:p>
      <w:pPr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Cs/>
          <w:b/>
        </w:rPr>
        <w:t xml:space="preserve">objetivos de punto de recuperación</w:t>
      </w:r>
      <w:r>
        <w:t xml:space="preserve"> </w:t>
      </w:r>
      <w:r>
        <w:t xml:space="preserve">(RPO –</w:t>
      </w:r>
      <w:r>
        <w:t xml:space="preserve"> </w:t>
      </w:r>
      <w:r>
        <w:rPr>
          <w:iCs/>
          <w:i/>
        </w:rPr>
        <w:t xml:space="preserve">Recovery Point Objective</w:t>
      </w:r>
      <w:r>
        <w:t xml:space="preserve">) máximos admisibles para los datos asociados a cada servicio crítico.</w:t>
      </w:r>
    </w:p>
    <w:p>
      <w:pPr>
        <w:numPr>
          <w:ilvl w:val="0"/>
          <w:numId w:val="1001"/>
        </w:numPr>
      </w:pPr>
      <w:r>
        <w:t xml:space="preserve">Las dependencias internas y externas (proveedores, terceros, infraestructuras compartidas).</w:t>
      </w:r>
    </w:p>
    <w:bookmarkEnd w:id="27"/>
    <w:bookmarkStart w:id="28" w:name="periodicidad"/>
    <w:p>
      <w:pPr>
        <w:pStyle w:val="Heading3"/>
      </w:pPr>
      <w:r>
        <w:t xml:space="preserve">4.2 Periodicidad</w:t>
      </w:r>
    </w:p>
    <w:p>
      <w:pPr>
        <w:pStyle w:val="FirstParagraph"/>
      </w:pPr>
      <w:r>
        <w:t xml:space="preserve">El BIA será revisado al menos con carácter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y, con carácter extraordinario, cuando se produzcan cambios significativos en los servicios prestados, en la organización, en la infraestructura o en el contexto operativo de la Entidad.</w:t>
      </w:r>
    </w:p>
    <w:bookmarkEnd w:id="28"/>
    <w:bookmarkStart w:id="29" w:name="aprobación"/>
    <w:p>
      <w:pPr>
        <w:pStyle w:val="Heading3"/>
      </w:pPr>
      <w:r>
        <w:t xml:space="preserve">4.3 Aprobación</w:t>
      </w:r>
    </w:p>
    <w:p>
      <w:pPr>
        <w:pStyle w:val="FirstParagraph"/>
      </w:pPr>
      <w:r>
        <w:t xml:space="preserve">El BIA será elaborado por el Responsable de la Seguridad en coordinación con los Responsables del Servicio y de la Información, y aprobado por el Comité de Seguridad.</w:t>
      </w:r>
    </w:p>
    <w:bookmarkEnd w:id="29"/>
    <w:bookmarkEnd w:id="30"/>
    <w:bookmarkStart w:id="34" w:name="Xbcf6c408c3b3a515f55fba52304d0e21e4ebbeb"/>
    <w:p>
      <w:pPr>
        <w:pStyle w:val="Heading2"/>
      </w:pPr>
      <w:r>
        <w:t xml:space="preserve">5. PLAN DE CONTINUIDAD DEL SERVICIO [op.cont.2]</w:t>
      </w:r>
    </w:p>
    <w:bookmarkStart w:id="31" w:name="elaboración"/>
    <w:p>
      <w:pPr>
        <w:pStyle w:val="Heading3"/>
      </w:pPr>
      <w:r>
        <w:t xml:space="preserve">5.1 Elaboración</w:t>
      </w:r>
    </w:p>
    <w:p>
      <w:pPr>
        <w:pStyle w:val="FirstParagraph"/>
      </w:pPr>
      <w:r>
        <w:t xml:space="preserve">A partir de los resultados del BIA, la Entidad elaborará y mantendrá actualizado un</w:t>
      </w:r>
      <w:r>
        <w:t xml:space="preserve"> </w:t>
      </w:r>
      <w:r>
        <w:rPr>
          <w:bCs/>
          <w:b/>
        </w:rPr>
        <w:t xml:space="preserve">Plan de Continuidad del Servicio</w:t>
      </w:r>
      <w:r>
        <w:t xml:space="preserve"> </w:t>
      </w:r>
      <w:r>
        <w:t xml:space="preserve">(en adelante,</w:t>
      </w:r>
      <w:r>
        <w:t xml:space="preserve"> </w:t>
      </w:r>
      <w:r>
        <w:t xml:space="preserve">“</w:t>
      </w:r>
      <w:r>
        <w:t xml:space="preserve">PCS</w:t>
      </w:r>
      <w:r>
        <w:t xml:space="preserve">”</w:t>
      </w:r>
      <w:r>
        <w:t xml:space="preserve">), que documentará:</w:t>
      </w:r>
    </w:p>
    <w:p>
      <w:pPr>
        <w:numPr>
          <w:ilvl w:val="0"/>
          <w:numId w:val="1002"/>
        </w:numPr>
      </w:pPr>
      <w:r>
        <w:t xml:space="preserve">La estrategia general de continuidad adoptada para cada servicio crítico.</w:t>
      </w:r>
    </w:p>
    <w:p>
      <w:pPr>
        <w:numPr>
          <w:ilvl w:val="0"/>
          <w:numId w:val="1002"/>
        </w:numPr>
      </w:pPr>
      <w:r>
        <w:t xml:space="preserve">Los procedimientos operativos para la activación, gestión y desactivación del Plan.</w:t>
      </w:r>
    </w:p>
    <w:p>
      <w:pPr>
        <w:numPr>
          <w:ilvl w:val="0"/>
          <w:numId w:val="1002"/>
        </w:numPr>
      </w:pPr>
      <w:r>
        <w:t xml:space="preserve">Los roles y responsabilidades del Equipo de Continuidad.</w:t>
      </w:r>
    </w:p>
    <w:p>
      <w:pPr>
        <w:numPr>
          <w:ilvl w:val="0"/>
          <w:numId w:val="1002"/>
        </w:numPr>
      </w:pPr>
      <w:r>
        <w:t xml:space="preserve">Los recursos alternativos previstos (instalaciones, equipos, conectividad, personal, proveedores).</w:t>
      </w:r>
    </w:p>
    <w:p>
      <w:pPr>
        <w:numPr>
          <w:ilvl w:val="0"/>
          <w:numId w:val="1002"/>
        </w:numPr>
      </w:pPr>
      <w:r>
        <w:t xml:space="preserve">Las comunicaciones internas y externas durante una situación de disrupción.</w:t>
      </w:r>
    </w:p>
    <w:p>
      <w:pPr>
        <w:numPr>
          <w:ilvl w:val="0"/>
          <w:numId w:val="1002"/>
        </w:numPr>
      </w:pPr>
      <w:r>
        <w:t xml:space="preserve">Los criterios y procedimientos para la vuelta a la normalidad.</w:t>
      </w:r>
    </w:p>
    <w:bookmarkEnd w:id="31"/>
    <w:bookmarkStart w:id="32" w:name="plan-de-recuperación-ante-desastres"/>
    <w:p>
      <w:pPr>
        <w:pStyle w:val="Heading3"/>
      </w:pPr>
      <w:r>
        <w:t xml:space="preserve">5.2 Plan de Recuperación ante Desastres</w:t>
      </w:r>
    </w:p>
    <w:p>
      <w:pPr>
        <w:pStyle w:val="FirstParagraph"/>
      </w:pPr>
      <w:r>
        <w:t xml:space="preserve">El PCS se complementará con un</w:t>
      </w:r>
      <w:r>
        <w:t xml:space="preserve"> </w:t>
      </w:r>
      <w:r>
        <w:rPr>
          <w:bCs/>
          <w:b/>
        </w:rPr>
        <w:t xml:space="preserve">Plan de Recuperación ante Desastres</w:t>
      </w:r>
      <w:r>
        <w:t xml:space="preserve"> </w:t>
      </w:r>
      <w:r>
        <w:t xml:space="preserve">(DRP,</w:t>
      </w:r>
      <w:r>
        <w:t xml:space="preserve"> </w:t>
      </w:r>
      <w:r>
        <w:rPr>
          <w:iCs/>
          <w:i/>
        </w:rPr>
        <w:t xml:space="preserve">Disaster Recovery Plan</w:t>
      </w:r>
      <w:r>
        <w:t xml:space="preserve">), que detallará los procedimientos técnicos específicos para la restauración de los sistemas e infraestructuras tecnológicas tras una disrupción.</w:t>
      </w:r>
    </w:p>
    <w:bookmarkEnd w:id="32"/>
    <w:bookmarkStart w:id="33" w:name="aprobación-1"/>
    <w:p>
      <w:pPr>
        <w:pStyle w:val="Heading3"/>
      </w:pPr>
      <w:r>
        <w:t xml:space="preserve">5.3 Aprobación</w:t>
      </w:r>
    </w:p>
    <w:p>
      <w:pPr>
        <w:pStyle w:val="FirstParagraph"/>
      </w:pPr>
      <w:r>
        <w:t xml:space="preserve">El PCS y el DRP serán aprobados por el Comité de Seguridad y elevados a {{ cliente.organo_aprobador_politicas }} para su conocimiento.</w:t>
      </w:r>
    </w:p>
    <w:bookmarkEnd w:id="33"/>
    <w:bookmarkEnd w:id="34"/>
    <w:bookmarkStart w:id="37" w:name="medios-alternativos-op.cont.4"/>
    <w:p>
      <w:pPr>
        <w:pStyle w:val="Heading2"/>
      </w:pPr>
      <w:r>
        <w:t xml:space="preserve">6. MEDIOS ALTERNATIVOS [op.cont.4]</w:t>
      </w:r>
    </w:p>
    <w:bookmarkStart w:id="35" w:name="redundancia"/>
    <w:p>
      <w:pPr>
        <w:pStyle w:val="Heading3"/>
      </w:pPr>
      <w:r>
        <w:t xml:space="preserve">6.1 Redundancia</w:t>
      </w:r>
    </w:p>
    <w:p>
      <w:pPr>
        <w:pStyle w:val="FirstParagraph"/>
      </w:pPr>
      <w:r>
        <w:t xml:space="preserve">Para los servicios cuya criticidad lo justifique, la Entidad mantendrá medios alternativos que permitan su prestación en caso de fallo del entorno principal. Estos medios podrán incluir: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Redundancia de hardware</w:t>
      </w:r>
      <w:r>
        <w:t xml:space="preserve">: servidores, sistemas de almacenamiento y elementos de red duplicados o en alta disponibilidad.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Redundancia de comunicaciones</w:t>
      </w:r>
      <w:r>
        <w:t xml:space="preserve">: enlaces de red alternativos con proveedores diferentes.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Redundancia de instalaciones</w:t>
      </w:r>
      <w:r>
        <w:t xml:space="preserve">: centros de proceso de datos alternativos, ubicados a distancia geográfica suficiente del principal.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Redundancia de proveedores</w:t>
      </w:r>
      <w:r>
        <w:t xml:space="preserve">: existencia de proveedores alternativos para servicios externalizados críticos.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Copias de seguridad</w:t>
      </w:r>
      <w:r>
        <w:t xml:space="preserve"> </w:t>
      </w:r>
      <w:r>
        <w:t xml:space="preserve">(backups) almacenadas en ubicaciones independientes y protegidas, con políticas de retención y rotación adecuadas.</w:t>
      </w:r>
    </w:p>
    <w:bookmarkEnd w:id="35"/>
    <w:bookmarkStart w:id="36" w:name="política-de-copias-de-seguridad"/>
    <w:p>
      <w:pPr>
        <w:pStyle w:val="Heading3"/>
      </w:pPr>
      <w:r>
        <w:t xml:space="preserve">6.2 Política de copias de seguridad</w:t>
      </w:r>
    </w:p>
    <w:p>
      <w:pPr>
        <w:pStyle w:val="FirstParagraph"/>
      </w:pPr>
      <w:r>
        <w:t xml:space="preserve">Las copias de seguridad de la información y los sistemas se realizarán conforme a los siguientes criterios mínimos: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 ENS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mínima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restauración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+ incrementos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</w:tbl>
    <w:p>
      <w:pPr>
        <w:pStyle w:val="BodyText"/>
      </w:pPr>
      <w:r>
        <w:t xml:space="preserve">Las copias se almacenarán cifradas, en ubicación física separada de los sistemas de origen, y serán objeto de pruebas periódicas de restauración para verificar su integridad y operatividad.</w:t>
      </w:r>
    </w:p>
    <w:bookmarkEnd w:id="36"/>
    <w:bookmarkEnd w:id="37"/>
    <w:bookmarkStart w:id="41" w:name="pruebas-periódicas-op.cont.3"/>
    <w:p>
      <w:pPr>
        <w:pStyle w:val="Heading2"/>
      </w:pPr>
      <w:r>
        <w:t xml:space="preserve">7. PRUEBAS PERIÓDICAS [op.cont.3]</w:t>
      </w:r>
    </w:p>
    <w:bookmarkStart w:id="38" w:name="programa-de-pruebas"/>
    <w:p>
      <w:pPr>
        <w:pStyle w:val="Heading3"/>
      </w:pPr>
      <w:r>
        <w:t xml:space="preserve">7.1 Programa de pruebas</w:t>
      </w:r>
    </w:p>
    <w:p>
      <w:pPr>
        <w:pStyle w:val="FirstParagraph"/>
      </w:pPr>
      <w:r>
        <w:t xml:space="preserve">La Entidad mantendrá un programa anual de pruebas del PCS y del DRP que incluya, al menos, los siguientes tipos de ejercicio: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Revisión documental</w:t>
      </w:r>
      <w:r>
        <w:t xml:space="preserve">: revisión periódica de los planes y procedimientos para verificar su vigencia y consistencia.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Walkthrough</w:t>
      </w:r>
      <w:r>
        <w:t xml:space="preserve">: ejercicio teórico en mesa con los miembros del Equipo de Continuidad para revisar paso a paso la respuesta a un escenario simulado.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Prueba parcial técnica</w:t>
      </w:r>
      <w:r>
        <w:t xml:space="preserve">: ejercicio práctico de restauración de un componente o servicio concreto, sin afectar a la operación.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Prueba completa</w:t>
      </w:r>
      <w:r>
        <w:t xml:space="preserve">: ejercicio práctico de activación de los medios alternativos y restauración íntegra del servicio en el entorno alternativo.</w:t>
      </w:r>
    </w:p>
    <w:bookmarkEnd w:id="38"/>
    <w:bookmarkStart w:id="39" w:name="periodicidad-mínima"/>
    <w:p>
      <w:pPr>
        <w:pStyle w:val="Heading3"/>
      </w:pPr>
      <w:r>
        <w:t xml:space="preserve">7.2 Periodicidad mínima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parcial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</w:tbl>
    <w:bookmarkEnd w:id="39"/>
    <w:bookmarkStart w:id="40" w:name="documentación-de-las-pruebas"/>
    <w:p>
      <w:pPr>
        <w:pStyle w:val="Heading3"/>
      </w:pPr>
      <w:r>
        <w:t xml:space="preserve">7.3 Documentación de las pruebas</w:t>
      </w:r>
    </w:p>
    <w:p>
      <w:pPr>
        <w:pStyle w:val="FirstParagraph"/>
      </w:pPr>
      <w:r>
        <w:t xml:space="preserve">De cada prueba se elaborará un informe que recoja los objetivos, el escenario, los participantes, las acciones realizadas, los tiempos medidos, los problemas detectados y las acciones correctivas a emprender. Los informes serán elevados al Comité de Seguridad.</w:t>
      </w:r>
    </w:p>
    <w:bookmarkEnd w:id="40"/>
    <w:bookmarkEnd w:id="41"/>
    <w:bookmarkStart w:id="42" w:name="equipo-de-continuidad"/>
    <w:p>
      <w:pPr>
        <w:pStyle w:val="Heading2"/>
      </w:pPr>
      <w:r>
        <w:t xml:space="preserve">8. EQUIPO DE CONTINUIDAD</w:t>
      </w:r>
    </w:p>
    <w:p>
      <w:pPr>
        <w:pStyle w:val="FirstParagraph"/>
      </w:pPr>
      <w:r>
        <w:t xml:space="preserve">La Entidad constituye un</w:t>
      </w:r>
      <w:r>
        <w:t xml:space="preserve"> </w:t>
      </w:r>
      <w:r>
        <w:rPr>
          <w:bCs/>
          <w:b/>
        </w:rPr>
        <w:t xml:space="preserve">Equipo de Continuidad</w:t>
      </w:r>
      <w:r>
        <w:t xml:space="preserve"> </w:t>
      </w:r>
      <w:r>
        <w:t xml:space="preserve">cuya composición incluirá, al menos, al Responsable de la Seguridad, al Responsable del Sistema, al Responsable del Servicio y a una persona con capacidad de decisión sobre los recursos económicos necesarios.</w:t>
      </w:r>
    </w:p>
    <w:p>
      <w:pPr>
        <w:pStyle w:val="BodyText"/>
      </w:pPr>
      <w:r>
        <w:t xml:space="preserve">En situaciones de</w:t>
      </w:r>
      <w:r>
        <w:t xml:space="preserve"> </w:t>
      </w:r>
      <w:r>
        <w:rPr>
          <w:bCs/>
          <w:b/>
        </w:rPr>
        <w:t xml:space="preserve">crisis</w:t>
      </w:r>
      <w:r>
        <w:t xml:space="preserve"> </w:t>
      </w:r>
      <w:r>
        <w:t xml:space="preserve">(incidentes de nivel CRÍTICO conforme al documento {{ proyecto.codigo_documento_base }}-103), el Equipo de Continuidad se integrará en el Comité de Crisis, asumiendo la coordinación operativa de la respuesta.</w:t>
      </w:r>
    </w:p>
    <w:bookmarkEnd w:id="42"/>
    <w:bookmarkStart w:id="43" w:name="continuidad-de-proveedores-críticos"/>
    <w:p>
      <w:pPr>
        <w:pStyle w:val="Heading2"/>
      </w:pPr>
      <w:r>
        <w:t xml:space="preserve">9. CONTINUIDAD DE PROVEEDORES CRÍTICOS</w:t>
      </w:r>
    </w:p>
    <w:p>
      <w:pPr>
        <w:pStyle w:val="FirstParagraph"/>
      </w:pPr>
      <w:r>
        <w:t xml:space="preserve">La Entidad identificará a los proveedores cuyos servicios resulten críticos para la prestación de sus propios servicios e incluirá en los contratos con estos proveedores:</w:t>
      </w:r>
    </w:p>
    <w:p>
      <w:pPr>
        <w:numPr>
          <w:ilvl w:val="0"/>
          <w:numId w:val="1005"/>
        </w:numPr>
      </w:pPr>
      <w:r>
        <w:t xml:space="preserve">Compromisos sobre continuidad del servicio y recuperación ante desastres.</w:t>
      </w:r>
    </w:p>
    <w:p>
      <w:pPr>
        <w:numPr>
          <w:ilvl w:val="0"/>
          <w:numId w:val="1005"/>
        </w:numPr>
      </w:pPr>
      <w:r>
        <w:t xml:space="preserve">Obligación de notificación inmediata de cualquier disrupción que pueda afectar a la Entidad.</w:t>
      </w:r>
    </w:p>
    <w:p>
      <w:pPr>
        <w:numPr>
          <w:ilvl w:val="0"/>
          <w:numId w:val="1005"/>
        </w:numPr>
      </w:pPr>
      <w:r>
        <w:t xml:space="preserve">Derecho de auditoría sobre las medidas de continuidad del proveedor.</w:t>
      </w:r>
    </w:p>
    <w:p>
      <w:pPr>
        <w:numPr>
          <w:ilvl w:val="0"/>
          <w:numId w:val="1005"/>
        </w:numPr>
      </w:pPr>
      <w:r>
        <w:t xml:space="preserve">Acuerdos de nivel de servicio (SLA) consistentes con los RTO y RPO de la Entidad.</w:t>
      </w:r>
    </w:p>
    <w:bookmarkEnd w:id="43"/>
    <w:bookmarkStart w:id="44" w:name="aprobación-revisión-y-vigencia"/>
    <w:p>
      <w:pPr>
        <w:pStyle w:val="Heading2"/>
      </w:pPr>
      <w:r>
        <w:t xml:space="preserve">10. APROBACIÓN, REVISIÓN Y VIGENCIA</w:t>
      </w:r>
    </w:p>
    <w:p>
      <w:pPr>
        <w:pStyle w:val="FirstParagraph"/>
      </w:pPr>
      <w:r>
        <w:t xml:space="preserve">El presente documento ha sido aprobado por {{ cliente.organo_aprobador_politicas }} el {{ proyecto.fecha_aprobacion_inicial }} y será objeto de revisión, al menos, con la misma periodicidad que la Política de Seguridad de la Información de la que es desarrollo, y en todo caso tras cualquier prueba completa del Plan que evidencie deficiencias significativas.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}}-104 — Versión {{ proyecto.version_actual }} — Clasificación: INTERNA</w:t>
      </w:r>
    </w:p>
    <w:bookmarkEnd w:id="44"/>
    <w:bookmarkEnd w:id="4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E-109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E-109 · Política de Continuidad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}}-104</vt:lpwstr>
  </property>
  <property fmtid="{D5CDD505-2E9C-101B-9397-08002B2CF9AE}" pid="5" name="fecha_aprobacion">
    <vt:lpwstr>{{ proyecto.fecha_aprobacion_inicial }}</vt:lpwstr>
  </property>
  <property fmtid="{D5CDD505-2E9C-101B-9397-08002B2CF9AE}" pid="6" name="fecha_proxima_revision">
    <vt:lpwstr>{{ proyecto.proxima_revision }}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Política de Continuidad del Servicio</vt:lpwstr>
  </property>
  <property fmtid="{D5CDD505-2E9C-101B-9397-08002B2CF9AE}" pid="9" name="version">
    <vt:lpwstr>{{ proyecto.version_actual }}</vt:lpwstr>
  </property>
</Properties>
</file>