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ccf19cfe32d8a6712c1c9f124210d1c3068c25"/>
    <w:p>
      <w:pPr>
        <w:pStyle w:val="Heading1"/>
      </w:pPr>
      <w:r>
        <w:t xml:space="preserve">POLÍTICA DE TELETRABAJO Y MOVILIDAD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}}-110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condiciones de seguridad aplicables al trabajo a distancia y al uso de dispositivos móviles fuera de las instalaciones controladas por {{ cliente.razon_social }}, garantizando que la información y los sistemas del alcance del SGSI mantienen un nivel de protección equivalente al de las instalaciones corporativas.</w:t>
      </w:r>
    </w:p>
    <w:bookmarkEnd w:id="20"/>
    <w:bookmarkStart w:id="21" w:name="ámbito-de-aplicación"/>
    <w:p>
      <w:pPr>
        <w:pStyle w:val="Heading2"/>
      </w:pPr>
      <w:r>
        <w:t xml:space="preserve">2. ÁMBITO DE APLICACIÓN</w:t>
      </w:r>
    </w:p>
    <w:p>
      <w:pPr>
        <w:pStyle w:val="FirstParagraph"/>
      </w:pPr>
      <w:r>
        <w:t xml:space="preserve">Se aplica a toda persona, interna o externa, que acceda a los sistemas o información de la Entidad desde ubicaciones no controladas por esta, incluyendo el domicilio particular, espacios de coworking, instalaciones de clientes, desplazamientos y cualquier otro entorno fuera de las sedes corporativas.</w:t>
      </w:r>
    </w:p>
    <w:bookmarkEnd w:id="21"/>
    <w:bookmarkStart w:id="24" w:name="autorización"/>
    <w:p>
      <w:pPr>
        <w:pStyle w:val="Heading2"/>
      </w:pPr>
      <w:r>
        <w:t xml:space="preserve">3. AUTORIZACIÓN</w:t>
      </w:r>
    </w:p>
    <w:bookmarkStart w:id="22" w:name="autorización-previa"/>
    <w:p>
      <w:pPr>
        <w:pStyle w:val="Heading3"/>
      </w:pPr>
      <w:r>
        <w:t xml:space="preserve">3.1 Autorización previa</w:t>
      </w:r>
    </w:p>
    <w:p>
      <w:pPr>
        <w:pStyle w:val="FirstParagraph"/>
      </w:pPr>
      <w:r>
        <w:t xml:space="preserve">El trabajo a distancia se realizará exclusivamente en los términos autorizados por la Entidad conforme a la normativa laboral aplicable (Real Decreto-ley 28/2020, de 22 de septiembre, de trabajo a distancia, o norma que lo sustituya) y al acuerdo individual de teletrabajo suscrito con cada persona.</w:t>
      </w:r>
    </w:p>
    <w:bookmarkEnd w:id="22"/>
    <w:bookmarkStart w:id="23" w:name="autorización-de-seguridad"/>
    <w:p>
      <w:pPr>
        <w:pStyle w:val="Heading3"/>
      </w:pPr>
      <w:r>
        <w:t xml:space="preserve">3.2 Autorización de seguridad</w:t>
      </w:r>
    </w:p>
    <w:p>
      <w:pPr>
        <w:pStyle w:val="FirstParagraph"/>
      </w:pPr>
      <w:r>
        <w:t xml:space="preserve">Con independencia de la autorización laboral, el Responsable de la Seguridad autorizará los perfiles de acceso remoto admisibles, los dispositivos autorizados y los canales de conexión permitidos.</w:t>
      </w:r>
    </w:p>
    <w:bookmarkEnd w:id="23"/>
    <w:bookmarkEnd w:id="24"/>
    <w:bookmarkStart w:id="31" w:name="requisitos-técnicos-obligatorios"/>
    <w:p>
      <w:pPr>
        <w:pStyle w:val="Heading2"/>
      </w:pPr>
      <w:r>
        <w:t xml:space="preserve">4. REQUISITOS TÉCNICOS OBLIGATORIOS</w:t>
      </w:r>
    </w:p>
    <w:bookmarkStart w:id="25" w:name="canal-cifrado"/>
    <w:p>
      <w:pPr>
        <w:pStyle w:val="Heading3"/>
      </w:pPr>
      <w:r>
        <w:t xml:space="preserve">4.1 Canal cifrado</w:t>
      </w:r>
    </w:p>
    <w:p>
      <w:pPr>
        <w:pStyle w:val="FirstParagraph"/>
      </w:pPr>
      <w:r>
        <w:t xml:space="preserve">Todo acceso remoto a los sistemas corporativos se realizará exclusivamente a través de un</w:t>
      </w:r>
      <w:r>
        <w:t xml:space="preserve"> </w:t>
      </w:r>
      <w:r>
        <w:rPr>
          <w:bCs/>
          <w:b/>
        </w:rPr>
        <w:t xml:space="preserve">canal cifrado</w:t>
      </w:r>
      <w:r>
        <w:t xml:space="preserve"> </w:t>
      </w:r>
      <w:r>
        <w:t xml:space="preserve">(VPN corporativa con TLS 1.2 o superior, o equivalente), conforme a la Política Criptográfica ({{ proyecto.codigo_documento_base }}-107).</w:t>
      </w:r>
    </w:p>
    <w:bookmarkEnd w:id="25"/>
    <w:bookmarkStart w:id="26" w:name="autenticación-multifactor"/>
    <w:p>
      <w:pPr>
        <w:pStyle w:val="Heading3"/>
      </w:pPr>
      <w:r>
        <w:t xml:space="preserve">4.2 Autenticación multifactor</w:t>
      </w:r>
    </w:p>
    <w:p>
      <w:pPr>
        <w:pStyle w:val="FirstParagraph"/>
      </w:pPr>
      <w:r>
        <w:t xml:space="preserve">El acceso remoto requerirá</w:t>
      </w:r>
      <w:r>
        <w:t xml:space="preserve"> </w:t>
      </w:r>
      <w:r>
        <w:rPr>
          <w:bCs/>
          <w:b/>
        </w:rPr>
        <w:t xml:space="preserve">autenticación multifactor obligatoria</w:t>
      </w:r>
      <w:r>
        <w:t xml:space="preserve">, conforme a la Política de Contraseñas y Autenticación ({{ proyecto.codigo_documento_base }}-102), sin excepción.</w:t>
      </w:r>
    </w:p>
    <w:bookmarkEnd w:id="26"/>
    <w:bookmarkStart w:id="27" w:name="dispositivos-autorizados"/>
    <w:p>
      <w:pPr>
        <w:pStyle w:val="Heading3"/>
      </w:pPr>
      <w:r>
        <w:t xml:space="preserve">4.3 Dispositivos autorizados</w:t>
      </w:r>
    </w:p>
    <w:p>
      <w:pPr>
        <w:pStyle w:val="FirstParagraph"/>
      </w:pPr>
      <w:r>
        <w:t xml:space="preserve">Solo se permitirá el acceso remoto desde</w:t>
      </w:r>
      <w:r>
        <w:t xml:space="preserve"> </w:t>
      </w:r>
      <w:r>
        <w:rPr>
          <w:bCs/>
          <w:b/>
        </w:rPr>
        <w:t xml:space="preserve">dispositivos corporativos gestionados</w:t>
      </w:r>
      <w:r>
        <w:t xml:space="preserve"> </w:t>
      </w:r>
      <w:r>
        <w:t xml:space="preserve">por la Entidad o desde dispositivos personales que cumplan los requisitos de la Política de BYOD ({{ proyecto.codigo_documento_base }}-118), cuando esta sea aplicable.</w:t>
      </w:r>
    </w:p>
    <w:bookmarkEnd w:id="27"/>
    <w:bookmarkStart w:id="28" w:name="cifrado-del-dispositivo"/>
    <w:p>
      <w:pPr>
        <w:pStyle w:val="Heading3"/>
      </w:pPr>
      <w:r>
        <w:t xml:space="preserve">4.4 Cifrado del dispositivo</w:t>
      </w:r>
    </w:p>
    <w:p>
      <w:pPr>
        <w:pStyle w:val="FirstParagraph"/>
      </w:pPr>
      <w:r>
        <w:t xml:space="preserve">Los dispositivos portátiles (laptops, tabletas) utilizados en teletrabajo deberán tener</w:t>
      </w:r>
      <w:r>
        <w:t xml:space="preserve"> </w:t>
      </w:r>
      <w:r>
        <w:rPr>
          <w:bCs/>
          <w:b/>
        </w:rPr>
        <w:t xml:space="preserve">cifrado de disco completo</w:t>
      </w:r>
      <w:r>
        <w:t xml:space="preserve"> </w:t>
      </w:r>
      <w:r>
        <w:t xml:space="preserve">activado (BitLocker, FileVault, LUKS) conforme a la Política Criptográfica.</w:t>
      </w:r>
    </w:p>
    <w:bookmarkEnd w:id="28"/>
    <w:bookmarkStart w:id="29" w:name="antimalware-y-actualización"/>
    <w:p>
      <w:pPr>
        <w:pStyle w:val="Heading3"/>
      </w:pPr>
      <w:r>
        <w:t xml:space="preserve">4.5 Antimalware y actualización</w:t>
      </w:r>
    </w:p>
    <w:p>
      <w:pPr>
        <w:pStyle w:val="FirstParagraph"/>
      </w:pPr>
      <w:r>
        <w:t xml:space="preserve">Los dispositivos remotos deberán tener instalado y actualizado el software antimalware corporativo y las actualizaciones de seguridad del sistema operativo al día, conforme al procedimiento de vulnerabilidades ({{ proyecto.codigo_documento_base }}-205).</w:t>
      </w:r>
    </w:p>
    <w:bookmarkEnd w:id="29"/>
    <w:bookmarkStart w:id="30" w:name="bloqueo-automático"/>
    <w:p>
      <w:pPr>
        <w:pStyle w:val="Heading3"/>
      </w:pPr>
      <w:r>
        <w:t xml:space="preserve">4.6 Bloqueo automático</w:t>
      </w:r>
    </w:p>
    <w:p>
      <w:pPr>
        <w:pStyle w:val="FirstParagraph"/>
      </w:pPr>
      <w:r>
        <w:t xml:space="preserve">Los dispositivos se bloquearán automáticamente tras un periodo máximo de inactividad de</w:t>
      </w:r>
      <w:r>
        <w:t xml:space="preserve"> </w:t>
      </w:r>
      <w:r>
        <w:rPr>
          <w:bCs/>
          <w:b/>
        </w:rPr>
        <w:t xml:space="preserve">5 minutos</w:t>
      </w:r>
      <w:r>
        <w:t xml:space="preserve"> </w:t>
      </w:r>
      <w:r>
        <w:t xml:space="preserve">con requerimiento de autenticación para el desbloqueo.</w:t>
      </w:r>
    </w:p>
    <w:bookmarkEnd w:id="30"/>
    <w:bookmarkEnd w:id="31"/>
    <w:bookmarkStart w:id="32" w:name="Xb6d950aaaa7dd8abecb4c44cd781b15f3c486f8"/>
    <w:p>
      <w:pPr>
        <w:pStyle w:val="Heading2"/>
      </w:pPr>
      <w:r>
        <w:t xml:space="preserve">5. NORMAS DE COMPORTAMIENTO EN ENTORNO REMOTO</w:t>
      </w:r>
    </w:p>
    <w:p>
      <w:pPr>
        <w:pStyle w:val="FirstParagraph"/>
      </w:pPr>
      <w:r>
        <w:t xml:space="preserve">La persona que trabaje a distancia deberá:</w:t>
      </w:r>
    </w:p>
    <w:p>
      <w:pPr>
        <w:numPr>
          <w:ilvl w:val="0"/>
          <w:numId w:val="1001"/>
        </w:numPr>
      </w:pPr>
      <w:r>
        <w:t xml:space="preserve">Adoptar precauciones razonables para que terceros no observen la información mostrada en pantalla, especialmente en espacios públicos. Se recomienda el uso de filtros de privacidad.</w:t>
      </w:r>
    </w:p>
    <w:p>
      <w:pPr>
        <w:numPr>
          <w:ilvl w:val="0"/>
          <w:numId w:val="1001"/>
        </w:numPr>
      </w:pPr>
      <w:r>
        <w:t xml:space="preserve">No conectar los equipos corporativos a redes Wi-Fi públicas abiertas sin canal cifrado adicional (VPN activa obligatoriamente).</w:t>
      </w:r>
    </w:p>
    <w:p>
      <w:pPr>
        <w:numPr>
          <w:ilvl w:val="0"/>
          <w:numId w:val="1001"/>
        </w:numPr>
      </w:pPr>
      <w:r>
        <w:t xml:space="preserve">No dejar desatendidos los equipos corporativos en vehículos, hoteles o espacios compartidos sin custodia adecuada.</w:t>
      </w:r>
    </w:p>
    <w:p>
      <w:pPr>
        <w:numPr>
          <w:ilvl w:val="0"/>
          <w:numId w:val="1001"/>
        </w:numPr>
      </w:pPr>
      <w:r>
        <w:t xml:space="preserve">No almacenar información clasificada como CONFIDENCIAL o RESTRINGIDA en el dispositivo local si es posible trabajar directamente contra los sistemas corporativos vía VPN.</w:t>
      </w:r>
    </w:p>
    <w:p>
      <w:pPr>
        <w:numPr>
          <w:ilvl w:val="0"/>
          <w:numId w:val="1001"/>
        </w:numPr>
      </w:pPr>
      <w:r>
        <w:t xml:space="preserve">No imprimir documentos clasificados en impresoras no controladas por la Entidad.</w:t>
      </w:r>
    </w:p>
    <w:p>
      <w:pPr>
        <w:numPr>
          <w:ilvl w:val="0"/>
          <w:numId w:val="1001"/>
        </w:numPr>
      </w:pPr>
      <w:r>
        <w:t xml:space="preserve">Notificar de inmediato la pérdida o sustracción de cualquier dispositivo corporativo al Responsable de la Seguridad.</w:t>
      </w:r>
    </w:p>
    <w:bookmarkEnd w:id="32"/>
    <w:bookmarkStart w:id="33" w:name="entorno-doméstico"/>
    <w:p>
      <w:pPr>
        <w:pStyle w:val="Heading2"/>
      </w:pPr>
      <w:r>
        <w:t xml:space="preserve">6. ENTORNO DOMÉSTICO</w:t>
      </w:r>
    </w:p>
    <w:p>
      <w:pPr>
        <w:pStyle w:val="FirstParagraph"/>
      </w:pPr>
      <w:r>
        <w:t xml:space="preserve">Cuando el teletrabajo se realice desde el domicilio particular, se recomienda disponer de un espacio de trabajo separado con:</w:t>
      </w:r>
    </w:p>
    <w:p>
      <w:pPr>
        <w:numPr>
          <w:ilvl w:val="0"/>
          <w:numId w:val="1002"/>
        </w:numPr>
      </w:pPr>
      <w:r>
        <w:t xml:space="preserve">Puerta que pueda cerrarse durante las sesiones de trabajo con información sensible.</w:t>
      </w:r>
    </w:p>
    <w:p>
      <w:pPr>
        <w:numPr>
          <w:ilvl w:val="0"/>
          <w:numId w:val="1002"/>
        </w:numPr>
      </w:pPr>
      <w:r>
        <w:t xml:space="preserve">Conexión a Internet propia (no compartida con otros hogares) con cifrado WPA3 o, al menos, WPA2.</w:t>
      </w:r>
    </w:p>
    <w:p>
      <w:pPr>
        <w:numPr>
          <w:ilvl w:val="0"/>
          <w:numId w:val="1002"/>
        </w:numPr>
      </w:pPr>
      <w:r>
        <w:t xml:space="preserve">Router doméstico con contraseña de administración cambiada respecto al valor de fábrica.</w:t>
      </w:r>
    </w:p>
    <w:bookmarkEnd w:id="33"/>
    <w:bookmarkStart w:id="34" w:name="viajes-y-desplazamientos"/>
    <w:p>
      <w:pPr>
        <w:pStyle w:val="Heading2"/>
      </w:pPr>
      <w:r>
        <w:t xml:space="preserve">7. VIAJES Y DESPLAZAMIENTOS</w:t>
      </w:r>
    </w:p>
    <w:p>
      <w:pPr>
        <w:pStyle w:val="FirstParagraph"/>
      </w:pPr>
      <w:r>
        <w:t xml:space="preserve">Durante los desplazamientos se aplicarán adicionalmente las siguientes medidas:</w:t>
      </w:r>
    </w:p>
    <w:p>
      <w:pPr>
        <w:numPr>
          <w:ilvl w:val="0"/>
          <w:numId w:val="1003"/>
        </w:numPr>
      </w:pPr>
      <w:r>
        <w:t xml:space="preserve">No facturar equipos con información sensible en el equipaje de bodega.</w:t>
      </w:r>
    </w:p>
    <w:p>
      <w:pPr>
        <w:numPr>
          <w:ilvl w:val="0"/>
          <w:numId w:val="1003"/>
        </w:numPr>
      </w:pPr>
      <w:r>
        <w:t xml:space="preserve">Mantener los dispositivos bajo custodia directa en todo momento.</w:t>
      </w:r>
    </w:p>
    <w:p>
      <w:pPr>
        <w:numPr>
          <w:ilvl w:val="0"/>
          <w:numId w:val="1003"/>
        </w:numPr>
      </w:pPr>
      <w:r>
        <w:t xml:space="preserve">No utilizar puertos USB públicos de carga (riesgo de juice jacking) sin adaptador de solo carga.</w:t>
      </w:r>
    </w:p>
    <w:p>
      <w:pPr>
        <w:numPr>
          <w:ilvl w:val="0"/>
          <w:numId w:val="1003"/>
        </w:numPr>
      </w:pPr>
      <w:r>
        <w:t xml:space="preserve">Deshabilitar las conexiones inalámbricas no necesarias (Bluetooth, NFC).</w:t>
      </w:r>
    </w:p>
    <w:bookmarkEnd w:id="34"/>
    <w:bookmarkStart w:id="35" w:name="revocación-del-acceso-remoto"/>
    <w:p>
      <w:pPr>
        <w:pStyle w:val="Heading2"/>
      </w:pPr>
      <w:r>
        <w:t xml:space="preserve">8. REVOCACIÓN DEL ACCESO REMOTO</w:t>
      </w:r>
    </w:p>
    <w:p>
      <w:pPr>
        <w:pStyle w:val="FirstParagraph"/>
      </w:pPr>
      <w:r>
        <w:t xml:space="preserve">El Responsable de la Seguridad podrá revocar de forma inmediata y sin previo aviso el acceso remoto de cualquier persona cuando detecte un comportamiento de riesgo, un posible compromiso del dispositivo o un incumplimiento de la presente Política.</w:t>
      </w:r>
    </w:p>
    <w:bookmarkEnd w:id="35"/>
    <w:bookmarkStart w:id="36" w:name="aprobación-revisión-y-vigencia"/>
    <w:p>
      <w:pPr>
        <w:pStyle w:val="Heading2"/>
      </w:pPr>
      <w:r>
        <w:t xml:space="preserve">9. APROBACIÓN, REVISIÓN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}}-110 — Versión {{ proyecto.version_actual }} — Clasificación: INTERNA</w:t>
      </w:r>
    </w:p>
    <w:bookmarkEnd w:id="36"/>
    <w:bookmarkEnd w:id="37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E-110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E-110 · Política de Proveedores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}}-110</vt:lpwstr>
  </property>
  <property fmtid="{D5CDD505-2E9C-101B-9397-08002B2CF9AE}" pid="5" name="fecha_aprobacion">
    <vt:lpwstr>{{ proyecto.fecha_aprobacion_inicial }}</vt:lpwstr>
  </property>
  <property fmtid="{D5CDD505-2E9C-101B-9397-08002B2CF9AE}" pid="6" name="propietario">
    <vt:lpwstr>{{ responsables.responsable_seguridad.cargo }}</vt:lpwstr>
  </property>
  <property fmtid="{D5CDD505-2E9C-101B-9397-08002B2CF9AE}" pid="7" name="titulo">
    <vt:lpwstr>Política de Teletrabajo y Movilidad</vt:lpwstr>
  </property>
  <property fmtid="{D5CDD505-2E9C-101B-9397-08002B2CF9AE}" pid="8" name="version">
    <vt:lpwstr>{{ proyecto.version_actual }}</vt:lpwstr>
  </property>
</Properties>
</file>