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ca7e76ab23c47d3624e36ea6023f8f179345b27"/>
    <w:p>
      <w:pPr>
        <w:pStyle w:val="Heading1"/>
      </w:pPr>
      <w:r>
        <w:t xml:space="preserve">POLÍTICA DE USO DE SERVICIOS CLOUD DE {{ cliente.razon_social | upper }}</w:t>
      </w:r>
    </w:p>
    <w:p>
      <w:pPr>
        <w:pStyle w:val="FirstParagraph"/>
      </w:pPr>
      <w:r>
        <w:rPr>
          <w:bCs/>
          <w:b/>
        </w:rPr>
        <w:t xml:space="preserve">Documento {{ proyecto.codigo_documento_base }}-111 — Versión {{ proyecto.version_actual }}</w:t>
      </w:r>
    </w:p>
    <w:p>
      <w:r>
        <w:pict>
          <v:rect style="width:0;height:1.5pt" o:hralign="center" o:hrstd="t" o:hr="t"/>
        </w:pict>
      </w:r>
    </w:p>
    <w:bookmarkStart w:id="20" w:name="objeto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Establecer los principios, criterios de selección, requisitos de seguridad y condiciones de uso de los servicios cloud (IaaS, PaaS, SaaS) contratados por {{ cliente.razon_social }}, garantizando que el tratamiento de información en infraestructuras de terceros cumple con las exigencias del Real Decreto 311/2022 y, en particular, con el</w:t>
      </w:r>
      <w:r>
        <w:t xml:space="preserve"> </w:t>
      </w:r>
      <w:r>
        <w:rPr>
          <w:bCs/>
          <w:b/>
        </w:rPr>
        <w:t xml:space="preserve">Perfil de Cumplimiento Específico de Servicios Cloud (CCN-STIC 887)</w:t>
      </w:r>
      <w:r>
        <w:t xml:space="preserve"> </w:t>
      </w:r>
      <w:r>
        <w:t xml:space="preserve">del Centro Criptológico Nacional.</w:t>
      </w:r>
    </w:p>
    <w:bookmarkEnd w:id="20"/>
    <w:bookmarkStart w:id="24" w:name="principios"/>
    <w:p>
      <w:pPr>
        <w:pStyle w:val="Heading2"/>
      </w:pPr>
      <w:r>
        <w:t xml:space="preserve">2. PRINCIPIOS</w:t>
      </w:r>
    </w:p>
    <w:bookmarkStart w:id="21" w:name="modelo-de-responsabilidad-compartida"/>
    <w:p>
      <w:pPr>
        <w:pStyle w:val="Heading3"/>
      </w:pPr>
      <w:r>
        <w:t xml:space="preserve">2.1 Modelo de responsabilidad compartida</w:t>
      </w:r>
    </w:p>
    <w:p>
      <w:pPr>
        <w:pStyle w:val="FirstParagraph"/>
      </w:pPr>
      <w:r>
        <w:t xml:space="preserve">La Entidad reconoce que la seguridad en entornos cloud es una responsabilidad compartida entre el proveedor y el cliente. La distribución de responsabilidades varía según el modelo de servicio (IaaS &gt; PaaS &gt; SaaS) y se documentará expresamente en cada contratación.</w:t>
      </w:r>
    </w:p>
    <w:bookmarkEnd w:id="21"/>
    <w:bookmarkStart w:id="22" w:name="prohibición-de-shadow-it"/>
    <w:p>
      <w:pPr>
        <w:pStyle w:val="Heading3"/>
      </w:pPr>
      <w:r>
        <w:t xml:space="preserve">2.2 Prohibición de Shadow IT</w:t>
      </w:r>
    </w:p>
    <w:p>
      <w:pPr>
        <w:pStyle w:val="FirstParagraph"/>
      </w:pPr>
      <w:r>
        <w:t xml:space="preserve">Queda</w:t>
      </w:r>
      <w:r>
        <w:t xml:space="preserve"> </w:t>
      </w:r>
      <w:r>
        <w:rPr>
          <w:bCs/>
          <w:b/>
        </w:rPr>
        <w:t xml:space="preserve">expresamente prohibida</w:t>
      </w:r>
      <w:r>
        <w:t xml:space="preserve"> </w:t>
      </w:r>
      <w:r>
        <w:t xml:space="preserve">la utilización de servicios cloud no autorizados previamente por el Responsable de la Seguridad. Todo servicio cloud utilizado para tratar información del alcance del SGSI debe estar inventariado, evaluado y aprobado.</w:t>
      </w:r>
    </w:p>
    <w:bookmarkEnd w:id="22"/>
    <w:bookmarkStart w:id="23" w:name="preferencia-de-localización-eee"/>
    <w:p>
      <w:pPr>
        <w:pStyle w:val="Heading3"/>
      </w:pPr>
      <w:r>
        <w:t xml:space="preserve">2.3 Preferencia de localización EEE</w:t>
      </w:r>
    </w:p>
    <w:p>
      <w:pPr>
        <w:pStyle w:val="FirstParagraph"/>
      </w:pPr>
      <w:r>
        <w:t xml:space="preserve">Se priorizarán los proveedores que garanticen el tratamiento de la información dentro del</w:t>
      </w:r>
      <w:r>
        <w:t xml:space="preserve"> </w:t>
      </w:r>
      <w:r>
        <w:rPr>
          <w:bCs/>
          <w:b/>
        </w:rPr>
        <w:t xml:space="preserve">Espacio Económico Europeo</w:t>
      </w:r>
      <w:r>
        <w:t xml:space="preserve">, evitando transferencias internacionales innecesarias.</w:t>
      </w:r>
    </w:p>
    <w:bookmarkEnd w:id="23"/>
    <w:bookmarkEnd w:id="24"/>
    <w:bookmarkStart w:id="29" w:name="X3caac32b4d67700d8d862f39d5e8dd9c3f430a3"/>
    <w:p>
      <w:pPr>
        <w:pStyle w:val="Heading2"/>
      </w:pPr>
      <w:r>
        <w:t xml:space="preserve">3. REQUISITOS DE SEGURIDAD PARA PROVEEDORES CLOUD</w:t>
      </w:r>
    </w:p>
    <w:bookmarkStart w:id="25" w:name="certificaciones-exigibles"/>
    <w:p>
      <w:pPr>
        <w:pStyle w:val="Heading3"/>
      </w:pPr>
      <w:r>
        <w:t xml:space="preserve">3.1 Certificaciones exigibles</w:t>
      </w:r>
    </w:p>
    <w:p>
      <w:pPr>
        <w:pStyle w:val="FirstParagraph"/>
      </w:pPr>
      <w:r>
        <w:t>{% if proyecto.categoria_ens in [“MEDIA”, “ALTA”] %} Los servicios cloud que traten información comprendida en el alcance del SGSI deberán acreditar conformidad con el ENS en categoría igual o superior a la del sistema servido, mediante:</w:t>
      </w:r>
    </w:p>
    <w:p>
      <w:pPr>
        <w:numPr>
          <w:ilvl w:val="0"/>
          <w:numId w:val="1001"/>
        </w:numPr>
      </w:pPr>
      <w:r>
        <w:t xml:space="preserve">Certificado de conformidad ENS emitido por entidad acreditada por ENAC, o</w:t>
      </w:r>
    </w:p>
    <w:p>
      <w:pPr>
        <w:numPr>
          <w:ilvl w:val="0"/>
          <w:numId w:val="1001"/>
        </w:numPr>
      </w:pPr>
      <w:r>
        <w:t xml:space="preserve">Cumplimiento del</w:t>
      </w:r>
      <w:r>
        <w:t xml:space="preserve"> </w:t>
      </w:r>
      <w:r>
        <w:rPr>
          <w:bCs/>
          <w:b/>
        </w:rPr>
        <w:t xml:space="preserve">Perfil de Cumplimiento Específico CCN-STIC 887</w:t>
      </w:r>
      <w:r>
        <w:t xml:space="preserve">, acreditado mediante auditoría independiente, o</w:t>
      </w:r>
    </w:p>
    <w:p>
      <w:pPr>
        <w:numPr>
          <w:ilvl w:val="0"/>
          <w:numId w:val="1001"/>
        </w:numPr>
      </w:pPr>
      <w:r>
        <w:t xml:space="preserve">Certificación equivalente reconocida (CSA STAR Level 2, SOC 2 Type II + ISO 27001 + ISO 27017 + ISO 27018) cuando las opciones anteriores no estén disponibles para el servicio concreto, previa autorización del Responsable de la Seguridad.</w:t>
      </w:r>
      <w:r>
        <w:t xml:space="preserve"> </w:t>
      </w:r>
      <w:r>
        <w:t xml:space="preserve">{% else %}</w:t>
      </w:r>
      <w:r>
        <w:t xml:space="preserve"> </w:t>
      </w:r>
      <w:r>
        <w:t xml:space="preserve">Los servicios cloud deberán disponer, como mínimo, de certificación ISO 27001 vigente y declarar su cumplimiento con las medidas de seguridad aplicables a la categoría del sistema.</w:t>
      </w:r>
      <w:r>
        <w:t xml:space="preserve"> </w:t>
      </w:r>
      <w:r>
        <w:t xml:space="preserve">{% endif %}</w:t>
      </w:r>
    </w:p>
    <w:bookmarkEnd w:id="25"/>
    <w:bookmarkStart w:id="26" w:name="cifrado"/>
    <w:p>
      <w:pPr>
        <w:pStyle w:val="Heading3"/>
      </w:pPr>
      <w:r>
        <w:t xml:space="preserve">3.2 Cifrado</w:t>
      </w:r>
    </w:p>
    <w:p>
      <w:pPr>
        <w:pStyle w:val="FirstParagraph"/>
      </w:pPr>
      <w:r>
        <w:t xml:space="preserve">Los datos de la Entidad se cifrarán conforme a la Política Criptográfica ({{ proyecto.codigo_documento_base }}-107) tanto en reposo como en tránsito. Cuando sea técnicamente viable, se exigirá que las claves de cifrado estén bajo control de la Entidad mediante mecanismos</w:t>
      </w:r>
      <w:r>
        <w:t xml:space="preserve"> </w:t>
      </w:r>
      <w:r>
        <w:rPr>
          <w:bCs/>
          <w:b/>
        </w:rPr>
        <w:t xml:space="preserve">BYOK (Bring Your Own Key)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HYOK (Hold Your Own Key)</w:t>
      </w:r>
      <w:r>
        <w:t xml:space="preserve">.</w:t>
      </w:r>
    </w:p>
    <w:bookmarkEnd w:id="26"/>
    <w:bookmarkStart w:id="27" w:name="trazabilidad-de-accesos"/>
    <w:p>
      <w:pPr>
        <w:pStyle w:val="Heading3"/>
      </w:pPr>
      <w:r>
        <w:t xml:space="preserve">3.3 Trazabilidad de accesos</w:t>
      </w:r>
    </w:p>
    <w:p>
      <w:pPr>
        <w:pStyle w:val="FirstParagraph"/>
      </w:pPr>
      <w:r>
        <w:t xml:space="preserve">El proveedor deberá proporcionar registros de acceso de su personal a las infraestructuras que alojen información de la Entidad, accesibles bajo demanda y en auditoría.</w:t>
      </w:r>
    </w:p>
    <w:bookmarkEnd w:id="27"/>
    <w:bookmarkStart w:id="28" w:name="plan-de-salida-y-portabilidad"/>
    <w:p>
      <w:pPr>
        <w:pStyle w:val="Heading3"/>
      </w:pPr>
      <w:r>
        <w:t xml:space="preserve">3.4 Plan de salida y portabilidad</w:t>
      </w:r>
    </w:p>
    <w:p>
      <w:pPr>
        <w:pStyle w:val="FirstParagraph"/>
      </w:pPr>
      <w:r>
        <w:t xml:space="preserve">Antes de la contratación se verificará la existencia de un</w:t>
      </w:r>
      <w:r>
        <w:t xml:space="preserve"> </w:t>
      </w:r>
      <w:r>
        <w:rPr>
          <w:bCs/>
          <w:b/>
        </w:rPr>
        <w:t xml:space="preserve">plan de salida documentado</w:t>
      </w:r>
      <w:r>
        <w:t xml:space="preserve"> </w:t>
      </w:r>
      <w:r>
        <w:t xml:space="preserve">que garantice la portabilidad de los datos y servicios al término de la relación, en formatos abiertos y en plazos razonables.</w:t>
      </w:r>
    </w:p>
    <w:bookmarkEnd w:id="28"/>
    <w:bookmarkEnd w:id="29"/>
    <w:bookmarkStart w:id="30" w:name="Xc741567ac41d9d7a03e0640033fc4502d617f5a"/>
    <w:p>
      <w:pPr>
        <w:pStyle w:val="Heading2"/>
      </w:pPr>
      <w:r>
        <w:t xml:space="preserve">4. PROCESO DE APROBACIÓN DE NUEVOS SERVICIOS CLOUD</w:t>
      </w:r>
    </w:p>
    <w:p>
      <w:pPr>
        <w:pStyle w:val="FirstParagraph"/>
      </w:pPr>
      <w:r>
        <w:t xml:space="preserve">La incorporación de cualquier nuevo servicio cloud seguirá el siguiente flujo: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Solicitud</w:t>
      </w:r>
      <w:r>
        <w:t xml:space="preserve"> </w:t>
      </w:r>
      <w:r>
        <w:t xml:space="preserve">del área funcional al Responsable de la Seguridad, indicando servicio, proveedor, tipo de información a tratar y finalidad.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Evaluación de seguridad</w:t>
      </w:r>
      <w:r>
        <w:t xml:space="preserve"> </w:t>
      </w:r>
      <w:r>
        <w:t xml:space="preserve">conforme al procedimiento de evaluación de proveedores ({{ proyecto.codigo_documento_base }}-217), incluyendo el análisis del modelo de responsabilidad compartida.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Aprobación o denegación</w:t>
      </w:r>
      <w:r>
        <w:t xml:space="preserve"> </w:t>
      </w:r>
      <w:r>
        <w:t xml:space="preserve">del Responsable de la Seguridad, documentada y trazable.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Revisión periódica</w:t>
      </w:r>
      <w:r>
        <w:t xml:space="preserve"> </w:t>
      </w:r>
      <w:r>
        <w:t xml:space="preserve">conforme al ciclo de evaluación de proveedores.</w:t>
      </w:r>
    </w:p>
    <w:bookmarkEnd w:id="30"/>
    <w:bookmarkStart w:id="31" w:name="tipos-de-información-admitidos-en-cloud"/>
    <w:p>
      <w:pPr>
        <w:pStyle w:val="Heading2"/>
      </w:pPr>
      <w:r>
        <w:t xml:space="preserve">5. TIPOS DE INFORMACIÓN ADMITIDOS EN CLOUD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Nivel de clasificación (Política E-104)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Admisión en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restricciones especiales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Cifrado en tránsito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con autorización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Cifrado reposo + tránsito + BYOK recomendable + proveedor evaluado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RESTRINGIDA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con autorización expresa del Comité de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Cifrado HYOK obligatorio + localización EEE + auditoría reforzada</w:t>
            </w:r>
          </w:p>
        </w:tc>
      </w:tr>
    </w:tbl>
    <w:bookmarkEnd w:id="31"/>
    <w:bookmarkStart w:id="32" w:name="monitorización"/>
    <w:p>
      <w:pPr>
        <w:pStyle w:val="Heading2"/>
      </w:pPr>
      <w:r>
        <w:t xml:space="preserve">6. MONITORIZACIÓN</w:t>
      </w:r>
    </w:p>
    <w:p>
      <w:pPr>
        <w:pStyle w:val="FirstParagraph"/>
      </w:pPr>
      <w:r>
        <w:t xml:space="preserve">El Responsable del Sistema monitorizará el uso de los servicios cloud aprobados y, cuando sea técnicamente posible, implementará herramientas CASB (Cloud Access Security Broker) o equivalentes para detectar el uso no autorizado de servicios cloud.</w:t>
      </w:r>
    </w:p>
    <w:bookmarkEnd w:id="32"/>
    <w:bookmarkStart w:id="33" w:name="aprobación-revisión-y-vigencia"/>
    <w:p>
      <w:pPr>
        <w:pStyle w:val="Heading2"/>
      </w:pPr>
      <w:r>
        <w:t xml:space="preserve">7. APROBACIÓN, REVISIÓN Y VIGENCIA</w:t>
      </w:r>
    </w:p>
    <w:p>
      <w:pPr>
        <w:pStyle w:val="FirstParagraph"/>
      </w:pPr>
      <w:r>
        <w:t xml:space="preserve">Aprobada por {{ cliente.organo_aprobador_politicas }} el {{ proyecto.fecha_aprobacion_inicial }}. Revisión anual y siempre que se contrate un nuevo servicio cloud significativo.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{{ proyecto.codigo_documento_base }}-111 — Versión {{ proyecto.version_actual }} — Clasificación: INTERNA</w:t>
      </w:r>
    </w:p>
    <w:bookmarkEnd w:id="33"/>
    <w:bookmarkEnd w:id="34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E-111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E-111 · Política de Gestión de Activos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2026-04-14T18:00:38Z</dcterms:created>
  <dcterms:modified xsi:type="dcterms:W3CDTF">2026-04-14T18:00:38Z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robado_por">
    <vt:lpwstr>{{ cliente.organo_aprobador_politicas }}</vt:lpwstr>
  </property>
  <property fmtid="{D5CDD505-2E9C-101B-9397-08002B2CF9AE}" pid="3" name="clasificacion">
    <vt:lpwstr>INTERNA</vt:lpwstr>
  </property>
  <property fmtid="{D5CDD505-2E9C-101B-9397-08002B2CF9AE}" pid="4" name="codigo_documento">
    <vt:lpwstr>{{ proyecto.codigo_documento_base }}-111</vt:lpwstr>
  </property>
  <property fmtid="{D5CDD505-2E9C-101B-9397-08002B2CF9AE}" pid="5" name="fecha_aprobacion">
    <vt:lpwstr>{{ proyecto.fecha_aprobacion_inicial }}</vt:lpwstr>
  </property>
  <property fmtid="{D5CDD505-2E9C-101B-9397-08002B2CF9AE}" pid="6" name="propietario">
    <vt:lpwstr>{{ responsables.responsable_seguridad.cargo }}</vt:lpwstr>
  </property>
  <property fmtid="{D5CDD505-2E9C-101B-9397-08002B2CF9AE}" pid="7" name="titulo">
    <vt:lpwstr>Política de Uso de Servicios Cloud</vt:lpwstr>
  </property>
  <property fmtid="{D5CDD505-2E9C-101B-9397-08002B2CF9AE}" pid="8" name="version">
    <vt:lpwstr>{{ proyecto.version_actual }}</vt:lpwstr>
  </property>
</Properties>
</file>