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bdee1f9a42a0051689b0d7cbfe380b3dfcfa43"/>
    <w:p>
      <w:pPr>
        <w:pStyle w:val="Heading1"/>
      </w:pPr>
      <w:r>
        <w:t xml:space="preserve">POLÍTICA DE ADQUISICIÓN DE TECNOLOGÍA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}}-113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criterios de seguridad que {{ cliente.razon_social }} aplicará en la adquisición, contratación e incorporación de componentes tecnológicos (hardware, software, servicios y productos de seguridad) a los sistemas comprendidos en el alcance del SGSI, en cumplimiento de las medidas</w:t>
      </w:r>
      <w:r>
        <w:t xml:space="preserve"> </w:t>
      </w:r>
      <w:r>
        <w:rPr>
          <w:bCs/>
          <w:b/>
        </w:rPr>
        <w:t xml:space="preserve">op.pl.3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op.pl.5</w:t>
      </w:r>
      <w:r>
        <w:t xml:space="preserve"> </w:t>
      </w:r>
      <w:r>
        <w:t xml:space="preserve">del Anexo II del Real Decreto 311/2022.</w:t>
      </w:r>
    </w:p>
    <w:bookmarkEnd w:id="20"/>
    <w:bookmarkStart w:id="21" w:name="principios"/>
    <w:p>
      <w:pPr>
        <w:pStyle w:val="Heading2"/>
      </w:pPr>
      <w:r>
        <w:t xml:space="preserve">2. PRINCIPIOS</w:t>
      </w:r>
    </w:p>
    <w:p>
      <w:pPr>
        <w:pStyle w:val="FirstParagraph"/>
      </w:pPr>
      <w:r>
        <w:rPr>
          <w:bCs/>
          <w:b/>
        </w:rPr>
        <w:t xml:space="preserve">2.1 Evaluación previa de seguridad.</w:t>
      </w:r>
      <w:r>
        <w:t xml:space="preserve"> </w:t>
      </w:r>
      <w:r>
        <w:t xml:space="preserve">Ningún componente tecnológico se incorporará al entorno productivo sin una evaluación previa de su impacto en la seguridad del sistema, proporcional a su criticidad.</w:t>
      </w:r>
    </w:p>
    <w:p>
      <w:pPr>
        <w:pStyle w:val="BodyText"/>
      </w:pPr>
      <w:r>
        <w:rPr>
          <w:bCs/>
          <w:b/>
        </w:rPr>
        <w:t xml:space="preserve">2.2 Soporte vigente.</w:t>
      </w:r>
      <w:r>
        <w:t xml:space="preserve"> </w:t>
      </w:r>
      <w:r>
        <w:t xml:space="preserve">Solo se adquirirán productos con soporte activo del fabricante, salvo excepción documentada y autorizada conforme al apartado 9 de la Política de Seguridad ({{ proyecto.codigo_documento_base }}-100).</w:t>
      </w:r>
    </w:p>
    <w:p>
      <w:pPr>
        <w:pStyle w:val="BodyText"/>
      </w:pPr>
      <w:r>
        <w:rPr>
          <w:bCs/>
          <w:b/>
        </w:rPr>
        <w:t>2.3 Preferencia CPSTIC. {% if proyecto.categoria_ens in [“MEDIA”, “ALTA”] %}Para los productos de seguridad TIC (criptografía, cortafuegos, IDS/IPS, antimalware, gestión de identidades, SIEM), se dará preferencia a los productos incluidos en el Catálogo de Productos y Servicios de Seguridad TIC (CPSTIC) del Centro Criptológico Nacional, conforme a la medida op.pl.5 del Anexo II.{% else %}Se valorará la inclusión de los productos en el CPSTIC del Centro Criptológico Nacional como criterio positivo de selección.{% endif %}</w:t>
      </w:r>
    </w:p>
    <w:p>
      <w:pPr>
        <w:pStyle w:val="BodyText"/>
      </w:pPr>
      <w:r>
        <w:rPr>
          <w:bCs/>
          <w:b/>
        </w:rPr>
        <w:t xml:space="preserve">2.4 Cadena de suministro.</w:t>
      </w:r>
      <w:r>
        <w:t xml:space="preserve"> </w:t>
      </w:r>
      <w:r>
        <w:t xml:space="preserve">Se valorará el origen del fabricante, la existencia de obligaciones legales en su jurisdicción que pudieran afectar a la seguridad de la información, y la transparencia de su cadena de suministro.</w:t>
      </w:r>
    </w:p>
    <w:bookmarkEnd w:id="21"/>
    <w:bookmarkStart w:id="22" w:name="proceso-de-adquisición"/>
    <w:p>
      <w:pPr>
        <w:pStyle w:val="Heading2"/>
      </w:pPr>
      <w:r>
        <w:t xml:space="preserve">3. PROCESO DE ADQUISICIÓN</w:t>
      </w:r>
    </w:p>
    <w:p>
      <w:pPr>
        <w:pStyle w:val="FirstParagraph"/>
      </w:pPr>
      <w:r>
        <w:t xml:space="preserve">Toda solicitud de adquisición de tecnología para sistemas del alcance del SGSI seguirá este flujo: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Solicitud</w:t>
      </w:r>
      <w:r>
        <w:t xml:space="preserve"> </w:t>
      </w:r>
      <w:r>
        <w:t xml:space="preserve">del área funcional con justificación de necesidad.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Evaluación de seguridad</w:t>
      </w:r>
      <w:r>
        <w:t xml:space="preserve"> </w:t>
      </w:r>
      <w:r>
        <w:t xml:space="preserve">por el Responsable de la Seguridad, considerando: compatibilidad con la arquitectura, impacto en la superficie de ataque, requisitos de hardening, disponibilidad de parches, certificaciones de seguridad.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Verificación CPSTIC</w:t>
      </w:r>
      <w:r>
        <w:t xml:space="preserve"> </w:t>
      </w:r>
      <w:r>
        <w:t xml:space="preserve">cuando el producto sea de seguridad TIC y la categoría sea MEDIA o ALTA.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Aprobación</w:t>
      </w:r>
      <w:r>
        <w:t xml:space="preserve"> </w:t>
      </w:r>
      <w:r>
        <w:t xml:space="preserve">del Responsable de la Seguridad (o del Comité de Seguridad para adquisiciones de impacto ALTO).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Integración controlada</w:t>
      </w:r>
      <w:r>
        <w:t xml:space="preserve"> </w:t>
      </w:r>
      <w:r>
        <w:t xml:space="preserve">mediante el procedimiento de gestión de cambios ({{ proyecto.codigo_documento_base }}-203) y hardening conforme a las baselines aplicables.</w:t>
      </w:r>
    </w:p>
    <w:bookmarkEnd w:id="22"/>
    <w:bookmarkStart w:id="23" w:name="aprobación-y-vigencia"/>
    <w:p>
      <w:pPr>
        <w:pStyle w:val="Heading2"/>
      </w:pPr>
      <w:r>
        <w:t xml:space="preserve">4.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}}-113 — Versión {{ proyecto.version_actual }} — Clasificación: INTERNA</w:t>
      </w:r>
    </w:p>
    <w:bookmarkEnd w:id="23"/>
    <w:bookmarkEnd w:id="2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E-113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E-113 · Política de Protección de Datos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}}-113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Adquisición de Tecnología</vt:lpwstr>
  </property>
  <property fmtid="{D5CDD505-2E9C-101B-9397-08002B2CF9AE}" pid="7" name="version">
    <vt:lpwstr>{{ proyecto.version_actual }}</vt:lpwstr>
  </property>
</Properties>
</file>