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0ecc0565baf21933847c7a2c37768da1bb6534"/>
    <w:p>
      <w:pPr>
        <w:pStyle w:val="Heading1"/>
      </w:pPr>
      <w:r>
        <w:t xml:space="preserve">POLÍTICA DE DESARROLLO SEGURO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}}-114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principios y requisitos de seguridad aplicables al ciclo de vida del desarrollo de software (SSDLC) en {{ cliente.razon_social }}, tanto para el desarrollo interno como para el software desarrollado por terceros bajo encargo, en cumplimiento de las medidas</w:t>
      </w:r>
      <w:r>
        <w:t xml:space="preserve"> </w:t>
      </w:r>
      <w:r>
        <w:rPr>
          <w:bCs/>
          <w:b/>
        </w:rPr>
        <w:t xml:space="preserve">mp.sw.1 (Desarrollo de aplicaciones)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mp.sw.2 (Aceptación y puesta en servicio)</w:t>
      </w:r>
      <w:r>
        <w:t xml:space="preserve"> </w:t>
      </w:r>
      <w:r>
        <w:t xml:space="preserve">del Anexo II del Real Decreto 311/2022.</w:t>
      </w:r>
    </w:p>
    <w:p>
      <w:pPr>
        <w:pStyle w:val="BodyText"/>
      </w:pPr>
      <w:r>
        <w:t>{% if proyecto.categoria_ens == “BASICA” %} Nota sobre categoría BÁSICA: La presente Política es recomendable en categoría BÁSICA y obligatoria en categorías MEDIA y ALTA. Su aplicación se graduará en función de la criticidad del software desarrollado. {% endif %}</w:t>
      </w:r>
    </w:p>
    <w:bookmarkEnd w:id="20"/>
    <w:bookmarkStart w:id="21" w:name="principios"/>
    <w:p>
      <w:pPr>
        <w:pStyle w:val="Heading2"/>
      </w:pPr>
      <w:r>
        <w:t xml:space="preserve">2. PRINCIPIOS</w:t>
      </w:r>
    </w:p>
    <w:p>
      <w:pPr>
        <w:pStyle w:val="FirstParagraph"/>
      </w:pPr>
      <w:r>
        <w:rPr>
          <w:bCs/>
          <w:b/>
        </w:rPr>
        <w:t xml:space="preserve">2.1 Seguridad desde el diseño (Security by Design).</w:t>
      </w:r>
      <w:r>
        <w:t xml:space="preserve"> </w:t>
      </w:r>
      <w:r>
        <w:t xml:space="preserve">Los requisitos de seguridad se identificarán y documentarán desde las fases iniciales del ciclo de vida, no como corrección posterior.</w:t>
      </w:r>
    </w:p>
    <w:p>
      <w:pPr>
        <w:pStyle w:val="BodyText"/>
      </w:pPr>
      <w:r>
        <w:rPr>
          <w:bCs/>
          <w:b/>
        </w:rPr>
        <w:t xml:space="preserve">2.2 Defensa en profundidad.</w:t>
      </w:r>
      <w:r>
        <w:t xml:space="preserve"> </w:t>
      </w:r>
      <w:r>
        <w:t xml:space="preserve">Las aplicaciones implementarán múltiples capas de control de seguridad (validación de entrada, autenticación, autorización, cifrado, registro, tratamiento de errores).</w:t>
      </w:r>
    </w:p>
    <w:p>
      <w:pPr>
        <w:pStyle w:val="BodyText"/>
      </w:pPr>
      <w:r>
        <w:rPr>
          <w:bCs/>
          <w:b/>
        </w:rPr>
        <w:t xml:space="preserve">2.3 Mínimo privilegio.</w:t>
      </w:r>
      <w:r>
        <w:t xml:space="preserve"> </w:t>
      </w:r>
      <w:r>
        <w:t xml:space="preserve">Las aplicaciones solicitarán y utilizarán únicamente los privilegios estrictamente necesarios para su función.</w:t>
      </w:r>
    </w:p>
    <w:p>
      <w:pPr>
        <w:pStyle w:val="BodyText"/>
      </w:pPr>
      <w:r>
        <w:rPr>
          <w:bCs/>
          <w:b/>
        </w:rPr>
        <w:t xml:space="preserve">2.4 Fallo seguro.</w:t>
      </w:r>
      <w:r>
        <w:t xml:space="preserve"> </w:t>
      </w:r>
      <w:r>
        <w:t xml:space="preserve">Ante una condición de error, las aplicaciones fallarán de forma segura, sin revelar información sensible ni dejar el sistema en un estado vulnerable.</w:t>
      </w:r>
    </w:p>
    <w:bookmarkEnd w:id="21"/>
    <w:bookmarkStart w:id="27" w:name="requisitos-por-fase-del-ssdlc"/>
    <w:p>
      <w:pPr>
        <w:pStyle w:val="Heading2"/>
      </w:pPr>
      <w:r>
        <w:t xml:space="preserve">3. REQUISITOS POR FASE DEL SSDLC</w:t>
      </w:r>
    </w:p>
    <w:bookmarkStart w:id="22" w:name="análisis-y-diseño"/>
    <w:p>
      <w:pPr>
        <w:pStyle w:val="Heading3"/>
      </w:pPr>
      <w:r>
        <w:t xml:space="preserve">3.1 Análisis y diseño</w:t>
      </w:r>
    </w:p>
    <w:p>
      <w:pPr>
        <w:numPr>
          <w:ilvl w:val="0"/>
          <w:numId w:val="1001"/>
        </w:numPr>
      </w:pPr>
      <w:r>
        <w:t xml:space="preserve">Modelado de amenazas (STRIDE, DREAD o equivalente) para componentes críticos.</w:t>
      </w:r>
    </w:p>
    <w:p>
      <w:pPr>
        <w:numPr>
          <w:ilvl w:val="0"/>
          <w:numId w:val="1001"/>
        </w:numPr>
      </w:pPr>
      <w:r>
        <w:t xml:space="preserve">Requisitos de seguridad documentados como parte de la especificación funcional.</w:t>
      </w:r>
    </w:p>
    <w:p>
      <w:pPr>
        <w:numPr>
          <w:ilvl w:val="0"/>
          <w:numId w:val="1001"/>
        </w:numPr>
      </w:pPr>
      <w:r>
        <w:t xml:space="preserve">Revisión de arquitectura de seguridad antes de iniciar la codificación.</w:t>
      </w:r>
    </w:p>
    <w:bookmarkEnd w:id="22"/>
    <w:bookmarkStart w:id="23" w:name="codificación"/>
    <w:p>
      <w:pPr>
        <w:pStyle w:val="Heading3"/>
      </w:pPr>
      <w:r>
        <w:t xml:space="preserve">3.2 Codificación</w:t>
      </w:r>
    </w:p>
    <w:p>
      <w:pPr>
        <w:numPr>
          <w:ilvl w:val="0"/>
          <w:numId w:val="1002"/>
        </w:numPr>
      </w:pPr>
      <w:r>
        <w:t xml:space="preserve">Cumplimiento de las guías de codificación segura aplicables al lenguaje (OWASP Coding Practices, CWE Top 25, CERT Secure Coding Standards).</w:t>
      </w:r>
    </w:p>
    <w:p>
      <w:pPr>
        <w:numPr>
          <w:ilvl w:val="0"/>
          <w:numId w:val="1002"/>
        </w:numPr>
      </w:pPr>
      <w:r>
        <w:t xml:space="preserve">Validación y saneamiento de toda entrada de usuario.</w:t>
      </w:r>
    </w:p>
    <w:p>
      <w:pPr>
        <w:numPr>
          <w:ilvl w:val="0"/>
          <w:numId w:val="1002"/>
        </w:numPr>
      </w:pPr>
      <w:r>
        <w:t xml:space="preserve">Uso de APIs criptográficas aprobadas conforme a la Política Criptográfica ({{ proyecto.codigo_documento_base }}-107).</w:t>
      </w:r>
    </w:p>
    <w:p>
      <w:pPr>
        <w:numPr>
          <w:ilvl w:val="0"/>
          <w:numId w:val="1002"/>
        </w:numPr>
      </w:pPr>
      <w:r>
        <w:t xml:space="preserve">Gestión segura de credenciales: nunca en código fuente ni en ficheros de configuración sin cifrar.</w:t>
      </w:r>
    </w:p>
    <w:p>
      <w:pPr>
        <w:numPr>
          <w:ilvl w:val="0"/>
          <w:numId w:val="1002"/>
        </w:numPr>
      </w:pPr>
      <w:r>
        <w:t xml:space="preserve">Tratamiento seguro de errores: sin exposición de stack traces, rutas internas ni información de depuración en producción.</w:t>
      </w:r>
    </w:p>
    <w:bookmarkEnd w:id="23"/>
    <w:bookmarkStart w:id="24" w:name="pruebas-de-seguridad"/>
    <w:p>
      <w:pPr>
        <w:pStyle w:val="Heading3"/>
      </w:pPr>
      <w:r>
        <w:t xml:space="preserve">3.3 Pruebas de seguridad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SAST (Static Application Security Testing):</w:t>
      </w:r>
      <w:r>
        <w:t xml:space="preserve"> </w:t>
      </w:r>
      <w:r>
        <w:t xml:space="preserve">análisis estático del código fuente mediante herramientas automatizadas (Semgrep, Bandit, SonarQube o equivalentes) integrado en el pipeline CI/CD.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SCA (Software Composition Analysis):</w:t>
      </w:r>
      <w:r>
        <w:t xml:space="preserve"> </w:t>
      </w:r>
      <w:r>
        <w:t xml:space="preserve">verificación de dependencias de terceros contra bases de datos de vulnerabilidades conocidas (Trivy, Safety, OWASP Dependency-Check).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DAST (Dynamic Application Security Testing):</w:t>
      </w:r>
      <w:r>
        <w:t xml:space="preserve"> </w:t>
      </w:r>
      <w:r>
        <w:t xml:space="preserve">pruebas dinámicas sobre la aplicación en ejecución (OWASP ZAP, Nikto) en entorno de preproducción.</w:t>
      </w:r>
    </w:p>
    <w:p>
      <w:pPr>
        <w:numPr>
          <w:ilvl w:val="0"/>
          <w:numId w:val="1003"/>
        </w:numPr>
      </w:pPr>
      <w:r>
        <w:rPr>
          <w:bCs/>
          <w:b/>
        </w:rPr>
        <w:t>Pentesting: para aplicaciones críticas, test de intrusión específico conforme al procedimiento de pentesting aplicable.</w:t>
      </w:r>
      <w:r/>
      <w:r/>
    </w:p>
    <w:bookmarkEnd w:id="24"/>
    <w:bookmarkStart w:id="25" w:name="aceptación-y-puesta-en-servicio-mp.sw.2"/>
    <w:p>
      <w:pPr>
        <w:pStyle w:val="Heading3"/>
      </w:pPr>
      <w:r>
        <w:t xml:space="preserve">3.4 Aceptación y puesta en servicio [mp.sw.2]</w:t>
      </w:r>
    </w:p>
    <w:p>
      <w:pPr>
        <w:pStyle w:val="FirstParagraph"/>
      </w:pPr>
      <w:r>
        <w:t xml:space="preserve">Ninguna aplicación pasará a producción sin cumplir los siguientes requisitos:</w:t>
      </w:r>
    </w:p>
    <w:p>
      <w:pPr>
        <w:numPr>
          <w:ilvl w:val="0"/>
          <w:numId w:val="1004"/>
        </w:numPr>
      </w:pPr>
      <w:r>
        <w:t xml:space="preserve">Pruebas de seguridad completadas con hallazgos críticos y altos corregidos.</w:t>
      </w:r>
    </w:p>
    <w:p>
      <w:pPr>
        <w:numPr>
          <w:ilvl w:val="0"/>
          <w:numId w:val="1004"/>
        </w:numPr>
      </w:pPr>
      <w:r>
        <w:t xml:space="preserve">Revisión de hardening de la configuración del entorno de despliegue.</w:t>
      </w:r>
    </w:p>
    <w:p>
      <w:pPr>
        <w:numPr>
          <w:ilvl w:val="0"/>
          <w:numId w:val="1004"/>
        </w:numPr>
      </w:pPr>
      <w:r>
        <w:t xml:space="preserve">Aprobación formal del Responsable de la Seguridad para el paso a producción.</w:t>
      </w:r>
    </w:p>
    <w:p>
      <w:pPr>
        <w:numPr>
          <w:ilvl w:val="0"/>
          <w:numId w:val="1004"/>
        </w:numPr>
      </w:pPr>
      <w:r>
        <w:t xml:space="preserve">Documentación de seguridad actualizada (arquitectura, flujo de datos, controles).</w:t>
      </w:r>
    </w:p>
    <w:bookmarkEnd w:id="25"/>
    <w:bookmarkStart w:id="26" w:name="mantenimiento"/>
    <w:p>
      <w:pPr>
        <w:pStyle w:val="Heading3"/>
      </w:pPr>
      <w:r>
        <w:t xml:space="preserve">3.5 Mantenimiento</w:t>
      </w:r>
    </w:p>
    <w:p>
      <w:pPr>
        <w:numPr>
          <w:ilvl w:val="0"/>
          <w:numId w:val="1005"/>
        </w:numPr>
      </w:pPr>
      <w:r>
        <w:t xml:space="preserve">Aplicación de parches de seguridad conforme al procedimiento de vulnerabilidades ({{ proyecto.codigo_documento_base }}-205).</w:t>
      </w:r>
    </w:p>
    <w:p>
      <w:pPr>
        <w:numPr>
          <w:ilvl w:val="0"/>
          <w:numId w:val="1005"/>
        </w:numPr>
      </w:pPr>
      <w:r>
        <w:t xml:space="preserve">Monitorización continua de las dependencias para detectar nuevas vulnerabilidades.</w:t>
      </w:r>
    </w:p>
    <w:p>
      <w:pPr>
        <w:numPr>
          <w:ilvl w:val="0"/>
          <w:numId w:val="1005"/>
        </w:numPr>
      </w:pPr>
      <w:r>
        <w:t xml:space="preserve">Re-evaluación de seguridad ante cambios significativos.</w:t>
      </w:r>
    </w:p>
    <w:bookmarkEnd w:id="26"/>
    <w:bookmarkEnd w:id="27"/>
    <w:bookmarkStart w:id="28" w:name="software-de-terceros"/>
    <w:p>
      <w:pPr>
        <w:pStyle w:val="Heading2"/>
      </w:pPr>
      <w:r>
        <w:t xml:space="preserve">4. SOFTWARE DE TERCEROS</w:t>
      </w:r>
    </w:p>
    <w:p>
      <w:pPr>
        <w:pStyle w:val="FirstParagraph"/>
      </w:pPr>
      <w:r>
        <w:t xml:space="preserve">Cuando {{ cliente.razon_social }} encargue el desarrollo de software a terceros, los contratos incluirán cláusulas que obliguen al proveedor a cumplir con los requisitos de esta Política, a entregar los resultados de las pruebas de seguridad y a remediar las vulnerabilidades detectadas.</w:t>
      </w:r>
    </w:p>
    <w:bookmarkEnd w:id="28"/>
    <w:bookmarkStart w:id="29" w:name="aprobación-y-vigencia"/>
    <w:p>
      <w:pPr>
        <w:pStyle w:val="Heading2"/>
      </w:pPr>
      <w:r>
        <w:t xml:space="preserve">5. APROBACIÓN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}}-114 — Versión {{ proyecto.version_actual }} — Clasificación: INTERNA</w:t>
      </w:r>
    </w:p>
    <w:bookmarkEnd w:id="29"/>
    <w:bookmarkEnd w:id="3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E-114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E-114 · Política de Desarrollo Seguro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}}-114</vt:lpwstr>
  </property>
  <property fmtid="{D5CDD505-2E9C-101B-9397-08002B2CF9AE}" pid="5" name="fecha_aprobacion">
    <vt:lpwstr>{{ proyecto.fecha_aprobacion_inicial }}</vt:lpwstr>
  </property>
  <property fmtid="{D5CDD505-2E9C-101B-9397-08002B2CF9AE}" pid="6" name="titulo">
    <vt:lpwstr>Política de Desarrollo Seguro</vt:lpwstr>
  </property>
  <property fmtid="{D5CDD505-2E9C-101B-9397-08002B2CF9AE}" pid="7" name="version">
    <vt:lpwstr>{{ proyecto.version_actual }}</vt:lpwstr>
  </property>
</Properties>
</file>