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1f62a90afc26a1e9cfbb4bce3631feedf07b7f"/>
    <w:p>
      <w:pPr>
        <w:pStyle w:val="Heading1"/>
      </w:pPr>
      <w:r>
        <w:t xml:space="preserve">POLÍTICA DE GESTIÓN DE VULNERABILIDADES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}}-115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principios y compromisos de {{ cliente.razon_social }} en materia de identificación, valoración, priorización y tratamiento de las vulnerabilidades técnicas que afecten a sus sistemas de información, en cumplimiento de la medida</w:t>
      </w:r>
      <w:r>
        <w:t xml:space="preserve"> </w:t>
      </w:r>
      <w:r>
        <w:rPr>
          <w:bCs/>
          <w:b/>
        </w:rPr>
        <w:t xml:space="preserve">op.exp.4 (Mantenimiento y actualizaciones de seguridad)</w:t>
      </w:r>
      <w:r>
        <w:t xml:space="preserve"> </w:t>
      </w:r>
      <w:r>
        <w:t xml:space="preserve">del Anexo II del Real Decreto 311/2022.</w:t>
      </w:r>
    </w:p>
    <w:bookmarkEnd w:id="20"/>
    <w:bookmarkStart w:id="21" w:name="principios"/>
    <w:p>
      <w:pPr>
        <w:pStyle w:val="Heading2"/>
      </w:pPr>
      <w:r>
        <w:t xml:space="preserve">2. PRINCIPIOS</w:t>
      </w:r>
    </w:p>
    <w:p>
      <w:pPr>
        <w:pStyle w:val="FirstParagraph"/>
      </w:pPr>
      <w:r>
        <w:rPr>
          <w:bCs/>
          <w:b/>
        </w:rPr>
        <w:t xml:space="preserve">2.1 Visibilidad completa.</w:t>
      </w:r>
      <w:r>
        <w:t xml:space="preserve"> </w:t>
      </w:r>
      <w:r>
        <w:t xml:space="preserve">La Entidad mantendrá una cobertura de escaneo de vulnerabilidades ≥95% de los activos inventariados del alcance del SGSI.</w:t>
      </w:r>
    </w:p>
    <w:p>
      <w:pPr>
        <w:pStyle w:val="BodyText"/>
      </w:pPr>
      <w:r>
        <w:rPr>
          <w:bCs/>
          <w:b/>
        </w:rPr>
        <w:t xml:space="preserve">2.2 Priorización basada en riesgo.</w:t>
      </w:r>
      <w:r>
        <w:t xml:space="preserve"> </w:t>
      </w:r>
      <w:r>
        <w:t xml:space="preserve">Las vulnerabilidades se priorizarán combinando la puntuación CVSS con factores contextuales (criticidad del activo, exposición a Internet, existencia de exploit público, inclusión en el catálogo CISA KEV).</w:t>
      </w:r>
    </w:p>
    <w:p>
      <w:pPr>
        <w:pStyle w:val="BodyText"/>
      </w:pPr>
      <w:r>
        <w:rPr>
          <w:bCs/>
          <w:b/>
        </w:rPr>
        <w:t xml:space="preserve">2.3 Plazos de corrección proporcionales.</w:t>
      </w:r>
      <w:r>
        <w:t xml:space="preserve"> </w:t>
      </w:r>
      <w:r>
        <w:t xml:space="preserve">Los plazos máximos de corrección se establecen por criticidad: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Criticidad efectiva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 de corrección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 con explotación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días</w:t>
            </w:r>
          </w:p>
        </w:tc>
      </w:tr>
    </w:tbl>
    <w:p>
      <w:pPr>
        <w:pStyle w:val="BodyText"/>
      </w:pPr>
      <w:r>
        <w:rPr>
          <w:bCs/>
          <w:b/>
        </w:rPr>
        <w:t xml:space="preserve">2.4 Excepción documentada.</w:t>
      </w:r>
      <w:r>
        <w:t xml:space="preserve"> </w:t>
      </w:r>
      <w:r>
        <w:t xml:space="preserve">Cuando no sea posible corregir una vulnerabilidad en plazo, se gestionará como excepción conforme al apartado 9 de la Política de Seguridad ({{ proyecto.codigo_documento_base }}-100), documentando el riesgo asumido y las mitigaciones compensatorias.</w:t>
      </w:r>
    </w:p>
    <w:bookmarkEnd w:id="21"/>
    <w:bookmarkStart w:id="22" w:name="fuentes-de-inteligencia"/>
    <w:p>
      <w:pPr>
        <w:pStyle w:val="Heading2"/>
      </w:pPr>
      <w:r>
        <w:t xml:space="preserve">3. FUENTES DE INTELIGENCIA</w:t>
      </w:r>
    </w:p>
    <w:p>
      <w:pPr>
        <w:pStyle w:val="FirstParagraph"/>
      </w:pPr>
      <w:r>
        <w:t xml:space="preserve">El Responsable de la Seguridad monitorizará al menos: CCN-CERT, INCIBE-CERT, NVD (NIST), CISA KEV, boletines de los fabricantes del software utilizado.</w:t>
      </w:r>
    </w:p>
    <w:bookmarkEnd w:id="22"/>
    <w:bookmarkStart w:id="23" w:name="procedimiento-operativo"/>
    <w:p>
      <w:pPr>
        <w:pStyle w:val="Heading2"/>
      </w:pPr>
      <w:r>
        <w:t xml:space="preserve">4. PROCEDIMIENTO OPERATIVO</w:t>
      </w:r>
    </w:p>
    <w:p>
      <w:pPr>
        <w:pStyle w:val="FirstParagraph"/>
      </w:pPr>
      <w:r>
        <w:t xml:space="preserve">El detalle operativo se desarrolla en el procedimiento {{ proyecto.codigo_documento_base }}-205 (Gestión de Vulnerabilidades) y {{ proyecto.codigo_documento_base }}-206 (Aplicación de Parches).</w:t>
      </w:r>
    </w:p>
    <w:bookmarkEnd w:id="23"/>
    <w:bookmarkStart w:id="24" w:name="aprobación-y-vigencia"/>
    <w:p>
      <w:pPr>
        <w:pStyle w:val="Heading2"/>
      </w:pPr>
      <w:r>
        <w:t xml:space="preserve">5.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}}-115 — Versión {{ proyecto.version_actual }} — Clasificación: INTERNA</w: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E-115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E-115 · Documento E-115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}}-115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Gestión de Vulnerabilidades</vt:lpwstr>
  </property>
  <property fmtid="{D5CDD505-2E9C-101B-9397-08002B2CF9AE}" pid="7" name="version">
    <vt:lpwstr>{{ proyecto.version_actual }}</vt:lpwstr>
  </property>
</Properties>
</file>