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2ae2973bd1e853adf21b5625d9d490dd582b1f"/>
    <w:p>
      <w:pPr>
        <w:pStyle w:val="Heading1"/>
      </w:pPr>
      <w:r>
        <w:t xml:space="preserve">POLÍTICA DE GESTIÓN DE CAMBIOS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}}-116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Garantizar que ningún cambio se introduzca en los sistemas productivos comprendidos en el alcance del SGSI sin haber sido previamente planificado, evaluado en términos de seguridad y estabilidad, autorizado por el órgano competente y verificado tras su implantación, en cumplimiento de la medida</w:t>
      </w:r>
      <w:r>
        <w:t xml:space="preserve"> </w:t>
      </w:r>
      <w:r>
        <w:rPr>
          <w:bCs/>
          <w:b/>
        </w:rPr>
        <w:t xml:space="preserve">op.exp.5 (Gestión de cambios)</w:t>
      </w:r>
      <w:r>
        <w:t xml:space="preserve"> </w:t>
      </w:r>
      <w:r>
        <w:t xml:space="preserve">del Anexo II del Real Decreto 311/2022.</w:t>
      </w:r>
    </w:p>
    <w:bookmarkEnd w:id="20"/>
    <w:bookmarkStart w:id="21" w:name="principios"/>
    <w:p>
      <w:pPr>
        <w:pStyle w:val="Heading2"/>
      </w:pPr>
      <w:r>
        <w:t xml:space="preserve">2. PRINCIPIOS</w:t>
      </w:r>
    </w:p>
    <w:p>
      <w:pPr>
        <w:pStyle w:val="FirstParagraph"/>
      </w:pPr>
      <w:r>
        <w:rPr>
          <w:bCs/>
          <w:b/>
        </w:rPr>
        <w:t xml:space="preserve">2.1 Todo cambio es formal.</w:t>
      </w:r>
      <w:r>
        <w:t xml:space="preserve"> </w:t>
      </w:r>
      <w:r>
        <w:t xml:space="preserve">Todo cambio en hardware, software, configuración, red o procedimientos operativos del sistema debe seguir un flujo formal documentado.</w:t>
      </w:r>
    </w:p>
    <w:p>
      <w:pPr>
        <w:pStyle w:val="BodyText"/>
      </w:pPr>
      <w:r>
        <w:rPr>
          <w:bCs/>
          <w:b/>
        </w:rPr>
        <w:t xml:space="preserve">2.2 Análisis de impacto previo.</w:t>
      </w:r>
      <w:r>
        <w:t xml:space="preserve"> </w:t>
      </w:r>
      <w:r>
        <w:t xml:space="preserve">Antes de su ejecución, cada cambio será evaluado en términos de impacto en la seguridad, la disponibilidad y la integridad del sistema.</w:t>
      </w:r>
    </w:p>
    <w:p>
      <w:pPr>
        <w:pStyle w:val="BodyText"/>
      </w:pPr>
      <w:r>
        <w:rPr>
          <w:bCs/>
          <w:b/>
        </w:rPr>
        <w:t xml:space="preserve">2.3 Reversibilidad.</w:t>
      </w:r>
      <w:r>
        <w:t xml:space="preserve"> </w:t>
      </w:r>
      <w:r>
        <w:t xml:space="preserve">Todo cambio debe tener un plan de marcha atrás (rollback) documentado y probado antes de su ejecución.</w:t>
      </w:r>
    </w:p>
    <w:p>
      <w:pPr>
        <w:pStyle w:val="BodyText"/>
      </w:pPr>
      <w:r>
        <w:rPr>
          <w:bCs/>
          <w:b/>
        </w:rPr>
        <w:t xml:space="preserve">2.4 Trazabilidad.</w:t>
      </w:r>
      <w:r>
        <w:t xml:space="preserve"> </w:t>
      </w:r>
      <w:r>
        <w:t xml:space="preserve">Todo cambio quedará registrado con identificador único, persona solicitante, autorizador, ejecutor, fecha y resultado.</w:t>
      </w:r>
    </w:p>
    <w:p>
      <w:pPr>
        <w:pStyle w:val="BodyText"/>
      </w:pPr>
      <w:r>
        <w:rPr>
          <w:bCs/>
          <w:b/>
        </w:rPr>
        <w:t xml:space="preserve">2.5 Comité de Cambios (CAB).</w:t>
      </w:r>
      <w:r>
        <w:t xml:space="preserve"> </w:t>
      </w:r>
      <w:r>
        <w:t xml:space="preserve">Los cambios de impacto ALTO o CRÍTICO serán evaluados y autorizados por el Comité de Cambios, conforme al procedimiento {{ proyecto.codigo_documento_base }}-203.</w:t>
      </w:r>
    </w:p>
    <w:bookmarkEnd w:id="21"/>
    <w:bookmarkStart w:id="22" w:name="clasificación"/>
    <w:p>
      <w:pPr>
        <w:pStyle w:val="Heading2"/>
      </w:pPr>
      <w:r>
        <w:t xml:space="preserve">3. CLASIFICACIÓN</w:t>
      </w:r>
    </w:p>
    <w:p>
      <w:pPr>
        <w:pStyle w:val="FirstParagraph"/>
      </w:pPr>
      <w:r>
        <w:t xml:space="preserve">Los cambios se clasifican en: ESTÁNDAR (preautorizados, catálogo), NORMAL (requieren evaluación individual), EMERGENCIA (flujo abreviado con ratificación posterior).</w:t>
      </w:r>
    </w:p>
    <w:bookmarkEnd w:id="22"/>
    <w:bookmarkStart w:id="23" w:name="procedimiento-operativo"/>
    <w:p>
      <w:pPr>
        <w:pStyle w:val="Heading2"/>
      </w:pPr>
      <w:r>
        <w:t xml:space="preserve">4. PROCEDIMIENTO OPERATIVO</w:t>
      </w:r>
    </w:p>
    <w:p>
      <w:pPr>
        <w:pStyle w:val="FirstParagraph"/>
      </w:pPr>
      <w:r>
        <w:t xml:space="preserve">El detalle se desarrolla en el procedimiento {{ proyecto.codigo_documento_base }}-203 (Gestión de Cambios Técnicos).</w:t>
      </w:r>
    </w:p>
    <w:bookmarkEnd w:id="23"/>
    <w:bookmarkStart w:id="24" w:name="aprobación-y-vigencia"/>
    <w:p>
      <w:pPr>
        <w:pStyle w:val="Heading2"/>
      </w:pPr>
      <w:r>
        <w:t xml:space="preserve">5. APROBACIÓN Y VIGENCIA</w:t>
      </w:r>
    </w:p>
    <w:p>
      <w:pPr>
        <w:pStyle w:val="FirstParagraph"/>
      </w:pPr>
      <w:r>
        <w:t xml:space="preserve">Aprobada por {{ cliente.organo_aprobador_politicas }} el {{ proyecto.fecha_aprobacion_inicial }}. Revisión anual.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}}-116 — Versión {{ proyecto.version_actual }} — Clasificación: INTERNA</w:t>
      </w:r>
    </w:p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E-116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E-116 · Documento E-116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}}-116</vt:lpwstr>
  </property>
  <property fmtid="{D5CDD505-2E9C-101B-9397-08002B2CF9AE}" pid="5" name="fecha_aprobacion">
    <vt:lpwstr>{{ proyecto.fecha_aprobacion_inicial }}</vt:lpwstr>
  </property>
  <property fmtid="{D5CDD505-2E9C-101B-9397-08002B2CF9AE}" pid="6" name="titulo">
    <vt:lpwstr>Política de Gestión de Cambios</vt:lpwstr>
  </property>
  <property fmtid="{D5CDD505-2E9C-101B-9397-08002B2CF9AE}" pid="7" name="version">
    <vt:lpwstr>{{ proyecto.version_actual }}</vt:lpwstr>
  </property>
</Properties>
</file>