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b294234d4119786406aa19853239a46fdf3733"/>
    <w:p>
      <w:pPr>
        <w:pStyle w:val="Heading1"/>
      </w:pPr>
      <w:r>
        <w:t xml:space="preserve">POLÍTICA DE REDES Y COMUNICACIONES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}}-121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los principios y requisitos de seguridad aplicables al diseño, operación y protección de las redes de comunicaciones de {{ cliente.razon_social }}, en cumplimiento de las medidas</w:t>
      </w:r>
      <w:r>
        <w:t xml:space="preserve"> </w:t>
      </w:r>
      <w:r>
        <w:rPr>
          <w:bCs/>
          <w:b/>
        </w:rPr>
        <w:t xml:space="preserve">mp.com.1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mp.com.4</w:t>
      </w:r>
      <w:r>
        <w:t xml:space="preserve"> </w:t>
      </w:r>
      <w:r>
        <w:t xml:space="preserve">del Anexo II del Real Decreto 311/2022.</w:t>
      </w:r>
    </w:p>
    <w:bookmarkEnd w:id="20"/>
    <w:bookmarkStart w:id="21" w:name="principios"/>
    <w:p>
      <w:pPr>
        <w:pStyle w:val="Heading2"/>
      </w:pPr>
      <w:r>
        <w:t xml:space="preserve">2. PRINCIPIOS</w:t>
      </w:r>
    </w:p>
    <w:p>
      <w:pPr>
        <w:pStyle w:val="FirstParagraph"/>
      </w:pPr>
      <w:r>
        <w:rPr>
          <w:bCs/>
          <w:b/>
        </w:rPr>
        <w:t xml:space="preserve">2.1 Perímetro seguro.</w:t>
      </w:r>
      <w:r>
        <w:t xml:space="preserve"> </w:t>
      </w:r>
      <w:r>
        <w:t xml:space="preserve">Todo punto de entrada y salida de la red corporativa estará controlado por un cortafuegos con política por defecto DENY y reglas explícitas documentadas.</w:t>
      </w:r>
    </w:p>
    <w:p>
      <w:pPr>
        <w:pStyle w:val="BodyText"/>
      </w:pPr>
      <w:r>
        <w:rPr>
          <w:bCs/>
          <w:b/>
        </w:rPr>
        <w:t xml:space="preserve">2.2 Segmentación de redes.</w:t>
      </w:r>
      <w:r>
        <w:t xml:space="preserve"> </w:t>
      </w:r>
      <w:r>
        <w:t xml:space="preserve">La red se segmentará conforme al principio de mínima exposición, separando al menos: red corporativa, red de servidores, red de gestión, red DMZ, red de invitados. Las redes de mayor criticidad estarán aisladas del acceso directo desde redes menos confiables.</w:t>
      </w:r>
    </w:p>
    <w:p>
      <w:pPr>
        <w:pStyle w:val="BodyText"/>
      </w:pPr>
      <w:r>
        <w:rPr>
          <w:bCs/>
          <w:b/>
        </w:rPr>
        <w:t xml:space="preserve">2.3 Cifrado de comunicaciones.</w:t>
      </w:r>
      <w:r>
        <w:t xml:space="preserve"> </w:t>
      </w:r>
      <w:r>
        <w:t xml:space="preserve">Conforme a la Política Criptográfica ({{ proyecto.codigo_documento_base }}-107), toda comunicación que transporte información sensible o que atraviese redes no controladas se cifrará con TLS 1.2 o superior (preferentemente TLS 1.3).</w:t>
      </w:r>
    </w:p>
    <w:p>
      <w:pPr>
        <w:pStyle w:val="BodyText"/>
      </w:pPr>
      <w:r>
        <w:rPr>
          <w:bCs/>
          <w:b/>
        </w:rPr>
        <w:t xml:space="preserve">2.4 Protección de integridad.</w:t>
      </w:r>
      <w:r>
        <w:t xml:space="preserve"> </w:t>
      </w:r>
      <w:r>
        <w:t xml:space="preserve">Los protocolos utilizados incorporarán mecanismos de verificación de integridad (HMAC, firmas digitales) para detectar manipulaciones en tránsito.</w:t>
      </w:r>
    </w:p>
    <w:p>
      <w:pPr>
        <w:pStyle w:val="BodyText"/>
      </w:pPr>
      <w:r>
        <w:rPr>
          <w:bCs/>
          <w:b/>
        </w:rPr>
        <w:t xml:space="preserve">2.5 Monitorización.</w:t>
      </w:r>
      <w:r>
        <w:t xml:space="preserve"> </w:t>
      </w:r>
      <w:r>
        <w:t xml:space="preserve">El tráfico de red se monitorizará mediante IDS/IPS y se registrará en el SIEM corporativo para la detección de anomalías y la respuesta a incidentes.</w:t>
      </w:r>
    </w:p>
    <w:bookmarkEnd w:id="21"/>
    <w:bookmarkStart w:id="22" w:name="reglas-de-cortafuegos"/>
    <w:p>
      <w:pPr>
        <w:pStyle w:val="Heading2"/>
      </w:pPr>
      <w:r>
        <w:t xml:space="preserve">3. REGLAS DE CORTAFUEGOS</w:t>
      </w:r>
    </w:p>
    <w:p>
      <w:pPr>
        <w:numPr>
          <w:ilvl w:val="0"/>
          <w:numId w:val="1001"/>
        </w:numPr>
      </w:pPr>
      <w:r>
        <w:t xml:space="preserve">Regla por defecto:</w:t>
      </w:r>
      <w:r>
        <w:t xml:space="preserve"> </w:t>
      </w:r>
      <w:r>
        <w:rPr>
          <w:bCs/>
          <w:b/>
        </w:rPr>
        <w:t xml:space="preserve">DENY ALL</w:t>
      </w:r>
      <w:r>
        <w:t xml:space="preserve"> </w:t>
      </w:r>
      <w:r>
        <w:t xml:space="preserve">(denegar todo tráfico no expresamente autorizado).</w:t>
      </w:r>
    </w:p>
    <w:p>
      <w:pPr>
        <w:numPr>
          <w:ilvl w:val="0"/>
          <w:numId w:val="1001"/>
        </w:numPr>
      </w:pPr>
      <w:r>
        <w:t xml:space="preserve">Las reglas se documentarán individualmente con: origen, destino, puerto/protocolo, justificación y fecha de autorización.</w:t>
      </w:r>
    </w:p>
    <w:p>
      <w:pPr>
        <w:numPr>
          <w:ilvl w:val="0"/>
          <w:numId w:val="1001"/>
        </w:numPr>
      </w:pPr>
      <w:r>
        <w:t xml:space="preserve">Las reglas se revisarán</w:t>
      </w:r>
      <w:r>
        <w:t xml:space="preserve"> </w:t>
      </w:r>
      <w:r>
        <w:rPr>
          <w:bCs/>
          <w:b/>
        </w:rPr>
        <w:t xml:space="preserve">semestralmente</w:t>
      </w:r>
      <w:r>
        <w:t xml:space="preserve"> </w:t>
      </w:r>
      <w:r>
        <w:t xml:space="preserve">para eliminar las obsoletas.</w:t>
      </w:r>
    </w:p>
    <w:p>
      <w:pPr>
        <w:numPr>
          <w:ilvl w:val="0"/>
          <w:numId w:val="1001"/>
        </w:numPr>
      </w:pPr>
      <w:r>
        <w:t xml:space="preserve">Los cambios en reglas de cortafuegos siguen el procedimiento de gestión de cambios ({{ proyecto.codigo_documento_base }}-203).</w:t>
      </w:r>
    </w:p>
    <w:bookmarkEnd w:id="22"/>
    <w:bookmarkStart w:id="23" w:name="redes-inalámbricas"/>
    <w:p>
      <w:pPr>
        <w:pStyle w:val="Heading2"/>
      </w:pPr>
      <w:r>
        <w:t xml:space="preserve">4. REDES INALÁMBRICAS</w:t>
      </w:r>
    </w:p>
    <w:p>
      <w:pPr>
        <w:numPr>
          <w:ilvl w:val="0"/>
          <w:numId w:val="1002"/>
        </w:numPr>
      </w:pPr>
      <w:r>
        <w:t xml:space="preserve">Las redes Wi-Fi corporativas usarán cifrado</w:t>
      </w:r>
      <w:r>
        <w:t xml:space="preserve"> </w:t>
      </w:r>
      <w:r>
        <w:rPr>
          <w:bCs/>
          <w:b/>
        </w:rPr>
        <w:t xml:space="preserve">WPA3</w:t>
      </w:r>
      <w:r>
        <w:t xml:space="preserve"> </w:t>
      </w:r>
      <w:r>
        <w:t xml:space="preserve">(o WPA2-Enterprise como mínimo) con autenticación 802.1X.</w:t>
      </w:r>
    </w:p>
    <w:p>
      <w:pPr>
        <w:numPr>
          <w:ilvl w:val="0"/>
          <w:numId w:val="1002"/>
        </w:numPr>
      </w:pPr>
      <w:r>
        <w:t xml:space="preserve">La red de invitados estará completamente aislada de la red corporativa.</w:t>
      </w:r>
    </w:p>
    <w:p>
      <w:pPr>
        <w:numPr>
          <w:ilvl w:val="0"/>
          <w:numId w:val="1002"/>
        </w:numPr>
      </w:pPr>
      <w:r>
        <w:t xml:space="preserve">Se monitorizará la presencia de puntos de acceso no autorizados (rogue APs).</w:t>
      </w:r>
    </w:p>
    <w:bookmarkEnd w:id="23"/>
    <w:bookmarkStart w:id="24" w:name="interconexiones-con-terceros"/>
    <w:p>
      <w:pPr>
        <w:pStyle w:val="Heading2"/>
      </w:pPr>
      <w:r>
        <w:t xml:space="preserve">5. INTERCONEXIONES CON TERCEROS</w:t>
      </w:r>
    </w:p>
    <w:p>
      <w:pPr>
        <w:pStyle w:val="FirstParagraph"/>
      </w:pPr>
      <w:r>
        <w:t xml:space="preserve">Las interconexiones con redes de terceros requerirán autorización del Responsable de la Seguridad, documentación del flujo autorizado, cifrado del canal y monitorización específica.</w:t>
      </w:r>
    </w:p>
    <w:bookmarkEnd w:id="24"/>
    <w:bookmarkStart w:id="25" w:name="aprobación-y-vigencia"/>
    <w:p>
      <w:pPr>
        <w:pStyle w:val="Heading2"/>
      </w:pPr>
      <w:r>
        <w:t xml:space="preserve">6. APROBACIÓN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}}-121 — Versión {{ proyecto.version_actual }} — Clasificación: INTERNA</w:t>
      </w:r>
    </w:p>
    <w:bookmarkEnd w:id="25"/>
    <w:bookmarkEnd w:id="26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E-121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E-121 · Documento E-121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}}-121</vt:lpwstr>
  </property>
  <property fmtid="{D5CDD505-2E9C-101B-9397-08002B2CF9AE}" pid="5" name="fecha_aprobacion">
    <vt:lpwstr>{{ proyecto.fecha_aprobacion_inicial }}</vt:lpwstr>
  </property>
  <property fmtid="{D5CDD505-2E9C-101B-9397-08002B2CF9AE}" pid="6" name="titulo">
    <vt:lpwstr>Política de Redes y Comunicaciones</vt:lpwstr>
  </property>
  <property fmtid="{D5CDD505-2E9C-101B-9397-08002B2CF9AE}" pid="7" name="version">
    <vt:lpwstr>{{ proyecto.version_actual }}</vt:lpwstr>
  </property>
</Properties>
</file>