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118f972abc612675c44cc7df58c5a911991df0"/>
    <w:p>
      <w:pPr>
        <w:pStyle w:val="Heading1"/>
      </w:pPr>
      <w:r>
        <w:t xml:space="preserve">POLÍTICA DE SEGURIDAD DEL PERSONAL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}}-124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requisitos de seguridad aplicables al ciclo de vida de la relación de las personas con {{ cliente.razon_social }} (selección, incorporación, desempeño, cambio de funciones y desvinculación), en cumplimiento de las medidas</w:t>
      </w:r>
      <w:r>
        <w:t xml:space="preserve"> </w:t>
      </w:r>
      <w:r>
        <w:rPr>
          <w:bCs/>
          <w:b/>
        </w:rPr>
        <w:t xml:space="preserve">mp.per.1 a mp.per.4</w:t>
      </w:r>
      <w:r>
        <w:t xml:space="preserve"> </w:t>
      </w:r>
      <w:r>
        <w:t xml:space="preserve">del Anexo II del Real Decreto 311/2022.</w:t>
      </w:r>
    </w:p>
    <w:bookmarkEnd w:id="20"/>
    <w:bookmarkStart w:id="21" w:name="antes-de-la-incorporación-mp.per.1"/>
    <w:p>
      <w:pPr>
        <w:pStyle w:val="Heading2"/>
      </w:pPr>
      <w:r>
        <w:t xml:space="preserve">2. ANTES DE LA INCORPORACIÓN [mp.per.1]</w:t>
      </w:r>
    </w:p>
    <w:p>
      <w:pPr>
        <w:numPr>
          <w:ilvl w:val="0"/>
          <w:numId w:val="1001"/>
        </w:numPr>
      </w:pPr>
      <w:r>
        <w:t xml:space="preserve">Los puestos de trabajo con acceso a información del alcance del SGSI tendrán documentados sus requisitos de seguridad (accesos necesarios, nivel de habilitación, formación requerida).</w:t>
      </w:r>
    </w:p>
    <w:p>
      <w:pPr>
        <w:numPr>
          <w:ilvl w:val="0"/>
          <w:numId w:val="1001"/>
        </w:numPr>
      </w:pPr>
      <w:r>
        <w:t xml:space="preserve">Los candidatos a puestos con acceso a información CONFIDENCIAL o superior serán objeto de verificación de antecedentes proporcional al riesgo, conforme a la legislación laboral aplicable y con respeto a la normativa de protección de datos.</w:t>
      </w:r>
    </w:p>
    <w:bookmarkEnd w:id="21"/>
    <w:bookmarkStart w:id="22" w:name="X3dfd3579ef6edbe510c182b00428fd87be46728"/>
    <w:p>
      <w:pPr>
        <w:pStyle w:val="Heading2"/>
      </w:pPr>
      <w:r>
        <w:t xml:space="preserve">3. DURANTE LA RELACIÓN [mp.per.2, mp.per.3, mp.per.4]</w:t>
      </w:r>
    </w:p>
    <w:p>
      <w:pPr>
        <w:numPr>
          <w:ilvl w:val="0"/>
          <w:numId w:val="1002"/>
        </w:numPr>
      </w:pPr>
      <w:r>
        <w:t xml:space="preserve">Todo el personal firmará un</w:t>
      </w:r>
      <w:r>
        <w:t xml:space="preserve"> </w:t>
      </w:r>
      <w:r>
        <w:rPr>
          <w:bCs/>
          <w:b/>
        </w:rPr>
        <w:t xml:space="preserve">compromiso de confidencialidad</w:t>
      </w:r>
      <w:r>
        <w:t xml:space="preserve"> </w:t>
      </w:r>
      <w:r>
        <w:t xml:space="preserve">y un</w:t>
      </w:r>
      <w:r>
        <w:t xml:space="preserve"> </w:t>
      </w:r>
      <w:r>
        <w:rPr>
          <w:bCs/>
          <w:b/>
        </w:rPr>
        <w:t xml:space="preserve">acuse de recibo</w:t>
      </w:r>
      <w:r>
        <w:t xml:space="preserve"> </w:t>
      </w:r>
      <w:r>
        <w:t xml:space="preserve">de la Política de Uso Aceptable ({{ proyecto.codigo_documento_base }}-103) como parte de su proceso de incorporación.</w:t>
      </w:r>
    </w:p>
    <w:p>
      <w:pPr>
        <w:numPr>
          <w:ilvl w:val="0"/>
          <w:numId w:val="1002"/>
        </w:numPr>
      </w:pPr>
      <w:r>
        <w:t xml:space="preserve">Se impartirá una</w:t>
      </w:r>
      <w:r>
        <w:t xml:space="preserve"> </w:t>
      </w:r>
      <w:r>
        <w:rPr>
          <w:bCs/>
          <w:b/>
        </w:rPr>
        <w:t xml:space="preserve">sesión de acogida en seguridad</w:t>
      </w:r>
      <w:r>
        <w:t xml:space="preserve"> </w:t>
      </w:r>
      <w:r>
        <w:t xml:space="preserve">durante la primera semana, conforme al Plan de Formación (E-PF-001).</w:t>
      </w:r>
    </w:p>
    <w:p>
      <w:pPr>
        <w:numPr>
          <w:ilvl w:val="0"/>
          <w:numId w:val="1002"/>
        </w:numPr>
      </w:pPr>
      <w:r>
        <w:t xml:space="preserve">El personal recibirá</w:t>
      </w:r>
      <w:r>
        <w:t xml:space="preserve"> </w:t>
      </w:r>
      <w:r>
        <w:rPr>
          <w:bCs/>
          <w:b/>
        </w:rPr>
        <w:t xml:space="preserve">formación y concienciación periódica</w:t>
      </w:r>
      <w:r>
        <w:t xml:space="preserve"> </w:t>
      </w:r>
      <w:r>
        <w:t xml:space="preserve">conforme al Plan de Formación, con contenidos adaptados a su perfil (técnico, directivo, roles ENS).</w:t>
      </w:r>
    </w:p>
    <w:p>
      <w:pPr>
        <w:numPr>
          <w:ilvl w:val="0"/>
          <w:numId w:val="1002"/>
        </w:numPr>
      </w:pPr>
      <w:r>
        <w:t xml:space="preserve">Los deberes de seguridad se incluirán, cuando sea posible, en la descripción del puesto de trabajo y en los criterios de evaluación del desempeño.</w:t>
      </w:r>
    </w:p>
    <w:bookmarkEnd w:id="22"/>
    <w:bookmarkStart w:id="23" w:name="cambio-de-funciones"/>
    <w:p>
      <w:pPr>
        <w:pStyle w:val="Heading2"/>
      </w:pPr>
      <w:r>
        <w:t xml:space="preserve">4. CAMBIO DE FUNCIONES</w:t>
      </w:r>
    </w:p>
    <w:p>
      <w:pPr>
        <w:pStyle w:val="FirstParagraph"/>
      </w:pPr>
      <w:r>
        <w:t xml:space="preserve">Cuando una persona cambie de puesto o funciones, se revisarán sus accesos y privilegios conforme al procedimiento de gestión de identidades ({{ proyecto.codigo_documento_base }}-231), aplicando el principio de mínimo privilegio al nuevo puesto y revocando los accesos del puesto anterior que dejen de ser necesarios.</w:t>
      </w:r>
    </w:p>
    <w:bookmarkEnd w:id="23"/>
    <w:bookmarkStart w:id="24" w:name="desvinculación"/>
    <w:p>
      <w:pPr>
        <w:pStyle w:val="Heading2"/>
      </w:pPr>
      <w:r>
        <w:t xml:space="preserve">5. DESVINCULACIÓN</w:t>
      </w:r>
    </w:p>
    <w:p>
      <w:pPr>
        <w:pStyle w:val="FirstParagraph"/>
      </w:pPr>
      <w:r>
        <w:t xml:space="preserve">Al término de la relación laboral o contractual se aplicará el procedimiento de baja ({{ proyecto.codigo_documento_base }}-201), incluyendo: revocación de accesos, devolución de equipos y soportes, recordatorio de las obligaciones de confidencialidad subsistentes y, cuando proceda, entrevista de salida.</w:t>
      </w:r>
    </w:p>
    <w:bookmarkEnd w:id="24"/>
    <w:bookmarkStart w:id="25" w:name="personal-externo"/>
    <w:p>
      <w:pPr>
        <w:pStyle w:val="Heading2"/>
      </w:pPr>
      <w:r>
        <w:t xml:space="preserve">6. PERSONAL EXTERNO</w:t>
      </w:r>
    </w:p>
    <w:p>
      <w:pPr>
        <w:pStyle w:val="FirstParagraph"/>
      </w:pPr>
      <w:r>
        <w:t xml:space="preserve">Los requisitos de seguridad aplicables al personal externo (contratistas, consultores, becarios) serán equivalentes a los del personal interno con acceso análogo. Las cláusulas de confidencialidad y los requisitos de formación se incluirán en los contratos con los proveedores correspondientes conforme a la Política de Gestión de Proveedores ({{ proyecto.codigo_documento_base }}-112).</w:t>
      </w:r>
    </w:p>
    <w:bookmarkEnd w:id="25"/>
    <w:bookmarkStart w:id="26" w:name="aprobación-y-vigencia"/>
    <w:p>
      <w:pPr>
        <w:pStyle w:val="Heading2"/>
      </w:pPr>
      <w:r>
        <w:t xml:space="preserve">7.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}}-124 — Versión {{ proyecto.version_actual }} — Clasificación: INTERNA</w:t>
      </w:r>
    </w:p>
    <w:bookmarkEnd w:id="26"/>
    <w:bookmarkEnd w:id="27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E-124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E-124 · Documento E-124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}}-124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Seguridad del Personal</vt:lpwstr>
  </property>
  <property fmtid="{D5CDD505-2E9C-101B-9397-08002B2CF9AE}" pid="7" name="version">
    <vt:lpwstr>{{ proyecto.version_actual }}</vt:lpwstr>
  </property>
</Properties>
</file>