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7508ef222cee2cf3d2ea26a144ea52e34afb96"/>
    <w:p>
      <w:pPr>
        <w:pStyle w:val="Heading1"/>
      </w:pPr>
      <w:r>
        <w:t xml:space="preserve">POLÍTICA DE BORRADO SEGURO Y DESTRUCCIÓN DE INFORMACIÓN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}}-126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Garantizar que la información de {{ cliente.razon_social }} se elimina de forma irreversible cuando deja de ser necesaria, evitando que pueda ser recuperada por personas no autorizadas, en cumplimiento de la medida</w:t>
      </w:r>
      <w:r>
        <w:t xml:space="preserve"> </w:t>
      </w:r>
      <w:r>
        <w:rPr>
          <w:bCs/>
          <w:b/>
        </w:rPr>
        <w:t xml:space="preserve">mp.si.5 (Borrado y destrucción)</w:t>
      </w:r>
      <w:r>
        <w:t xml:space="preserve"> </w:t>
      </w:r>
      <w:r>
        <w:t xml:space="preserve">del Anexo II del Real Decreto 311/2022, del artículo 5.1.e) del RGPD (limitación del plazo de conservación) y del artículo 32 de la LOPDGDD (bloqueo previo a la supresión).</w:t>
      </w:r>
    </w:p>
    <w:bookmarkEnd w:id="20"/>
    <w:bookmarkStart w:id="24" w:name="Xce5b62374f1150c2a583097fb090c983ff4e20e"/>
    <w:p>
      <w:pPr>
        <w:pStyle w:val="Heading2"/>
      </w:pPr>
      <w:r>
        <w:t xml:space="preserve">2. MÉTODOS DE BORRADO Y DESTRUCCIÓN POR TIPO DE SOPORTE</w:t>
      </w:r>
    </w:p>
    <w:bookmarkStart w:id="21" w:name="soportes-electrónicos"/>
    <w:p>
      <w:pPr>
        <w:pStyle w:val="Heading3"/>
      </w:pPr>
      <w:r>
        <w:t xml:space="preserve">2.1 Soportes electrónicos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 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admitido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 /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Borrado lógico (formateo)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Sobreescritura segura (mínimo 1 pasada con verificación), desmagnetización (degaussing) o cifrado previo con destrucción de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Destrucción física del soporte (trituración, incineración) o desmagnetización certificada + sobreescritura</w:t>
            </w:r>
          </w:p>
        </w:tc>
      </w:tr>
    </w:tbl>
    <w:p>
      <w:pPr>
        <w:pStyle w:val="BodyText"/>
      </w:pPr>
      <w:r>
        <w:t xml:space="preserve">Para los discos SSD y memorias flash, la sobreescritura simple no garantiza el borrado completo. Se utilizará el comando</w:t>
      </w:r>
      <w:r>
        <w:t xml:space="preserve"> </w:t>
      </w:r>
      <w:r>
        <w:rPr>
          <w:bCs/>
          <w:b/>
        </w:rPr>
        <w:t xml:space="preserve">ATA Secure Erase</w:t>
      </w:r>
      <w:r>
        <w:t xml:space="preserve"> </w:t>
      </w:r>
      <w:r>
        <w:t xml:space="preserve">del firmware del disco, o bien la destrucción física del soporte, o bien el borrado criptográfico (cifrar el soporte completo y destruir la clave de cifrado).</w:t>
      </w:r>
    </w:p>
    <w:bookmarkEnd w:id="21"/>
    <w:bookmarkStart w:id="22" w:name="soportes-en-papel"/>
    <w:p>
      <w:pPr>
        <w:pStyle w:val="Heading3"/>
      </w:pPr>
      <w:r>
        <w:t xml:space="preserve">2.2 Soportes en papel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admitido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DIN 66399 / UNE-EN 15713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 /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Trituración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Trituración con corte cruzado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Trituración con corte cruzado fino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P-5 o superior</w:t>
            </w:r>
          </w:p>
        </w:tc>
      </w:tr>
    </w:tbl>
    <w:bookmarkEnd w:id="22"/>
    <w:bookmarkStart w:id="23" w:name="soportes-ópticos-y-cintas"/>
    <w:p>
      <w:pPr>
        <w:pStyle w:val="Heading3"/>
      </w:pPr>
      <w:r>
        <w:t xml:space="preserve">2.3 Soportes ópticos y cintas</w:t>
      </w:r>
    </w:p>
    <w:p>
      <w:pPr>
        <w:pStyle w:val="FirstParagraph"/>
      </w:pPr>
      <w:r>
        <w:t xml:space="preserve">Destrucción física (trituración) conforme al nivel DIN 66399 correspondiente al nivel de clasificación de la información que contienen.</w:t>
      </w:r>
    </w:p>
    <w:bookmarkEnd w:id="23"/>
    <w:bookmarkEnd w:id="24"/>
    <w:bookmarkStart w:id="25" w:name="proveedores-de-destrucción"/>
    <w:p>
      <w:pPr>
        <w:pStyle w:val="Heading2"/>
      </w:pPr>
      <w:r>
        <w:t xml:space="preserve">3. PROVEEDORES DE DESTRUCCIÓN</w:t>
      </w:r>
    </w:p>
    <w:p>
      <w:pPr>
        <w:pStyle w:val="FirstParagraph"/>
      </w:pPr>
      <w:r>
        <w:t xml:space="preserve">Cuando la destrucción se confíe a proveedores especializados, estos deberán cumplir los requisitos de la Política de Gestión de Proveedores ({{ proyecto.codigo_documento_base }}-112) y emitir un</w:t>
      </w:r>
      <w:r>
        <w:t xml:space="preserve"> </w:t>
      </w:r>
      <w:r>
        <w:rPr>
          <w:bCs/>
          <w:b/>
        </w:rPr>
        <w:t xml:space="preserve">certificado de destrucción</w:t>
      </w:r>
      <w:r>
        <w:t xml:space="preserve"> </w:t>
      </w:r>
      <w:r>
        <w:t xml:space="preserve">firmado que identifique: los soportes destruidos (número de serie), el método utilizado, la fecha y hora, y la persona responsable del proveedor.</w:t>
      </w:r>
    </w:p>
    <w:bookmarkEnd w:id="25"/>
    <w:bookmarkStart w:id="26" w:name="datos-personales-bloqueo-previo"/>
    <w:p>
      <w:pPr>
        <w:pStyle w:val="Heading2"/>
      </w:pPr>
      <w:r>
        <w:t xml:space="preserve">4. DATOS PERSONALES — BLOQUEO PREVIO</w:t>
      </w:r>
    </w:p>
    <w:p>
      <w:pPr>
        <w:pStyle w:val="FirstParagraph"/>
      </w:pPr>
      <w:r>
        <w:t xml:space="preserve">Conforme al artículo 32 de la LOPDGDD, antes de la supresión definitiva de datos personales se procederá a su</w:t>
      </w:r>
      <w:r>
        <w:t xml:space="preserve"> </w:t>
      </w:r>
      <w:r>
        <w:rPr>
          <w:bCs/>
          <w:b/>
        </w:rPr>
        <w:t xml:space="preserve">bloqueo</w:t>
      </w:r>
      <w:r>
        <w:t xml:space="preserve"> </w:t>
      </w:r>
      <w:r>
        <w:t xml:space="preserve">durante el plazo de prescripción de las acciones legales que pudieran derivarse del tratamiento, manteniéndolos a disposición exclusiva de jueces, tribunales, Ministerio Fiscal o Administraciones Públicas competentes.</w:t>
      </w:r>
    </w:p>
    <w:bookmarkEnd w:id="26"/>
    <w:bookmarkStart w:id="27" w:name="registro-de-destrucción"/>
    <w:p>
      <w:pPr>
        <w:pStyle w:val="Heading2"/>
      </w:pPr>
      <w:r>
        <w:t xml:space="preserve">5. REGISTRO DE DESTRUCCIÓN</w:t>
      </w:r>
    </w:p>
    <w:p>
      <w:pPr>
        <w:pStyle w:val="FirstParagraph"/>
      </w:pPr>
      <w:r>
        <w:t xml:space="preserve">Toda destrucción de soportes que contengan información CONFIDENCIAL o RESTRINGIDA se documentará en el</w:t>
      </w:r>
      <w:r>
        <w:t xml:space="preserve"> </w:t>
      </w:r>
      <w:r>
        <w:rPr>
          <w:bCs/>
          <w:b/>
        </w:rPr>
        <w:t xml:space="preserve">Registro de Destrucción</w:t>
      </w:r>
      <w:r>
        <w:t xml:space="preserve">, indicando: soporte destruido, contenido, nivel de clasificación, método utilizado, fecha, persona responsable y, en su caso, referencia al certificado del proveedor.</w:t>
      </w:r>
    </w:p>
    <w:bookmarkEnd w:id="27"/>
    <w:bookmarkStart w:id="28" w:name="aprobación-y-vigencia"/>
    <w:p>
      <w:pPr>
        <w:pStyle w:val="Heading2"/>
      </w:pPr>
      <w:r>
        <w:t xml:space="preserve">6.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}}-126 — Versión {{ proyecto.version_actual }} — Clasificación: INTERNA</w:t>
      </w:r>
    </w:p>
    <w:bookmarkEnd w:id="28"/>
    <w:bookmarkEnd w:id="29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E-126 · Documento E-126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}}-126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Borrado Seguro y Destrucción de Información</vt:lpwstr>
  </property>
  <property fmtid="{D5CDD505-2E9C-101B-9397-08002B2CF9AE}" pid="7" name="version">
    <vt:lpwstr>{{ proyecto.version_actual }}</vt:lpwstr>
  </property>
</Properties>
</file>