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plan-director-de-seguridad-trianual"/>
    <w:p>
      <w:pPr>
        <w:pStyle w:val="Heading1"/>
      </w:pPr>
      <w:r>
        <w:t xml:space="preserve">Plan Director de Seguridad (trianual)</w:t>
      </w:r>
    </w:p>
    <w:p>
      <w:pPr>
        <w:pStyle w:val="FirstParagraph"/>
      </w:pPr>
      <w:r>
        <w:rPr>
          <w:bCs/>
          <w:b/>
        </w:rPr>
        <w:t xml:space="preserve">Cliente</w:t>
      </w:r>
      <w:r>
        <w:t xml:space="preserve">: {{ client_name }}</w:t>
      </w:r>
      <w:r>
        <w:t xml:space="preserve"> </w:t>
      </w:r>
      <w:r>
        <w:rPr>
          <w:bCs/>
          <w:b/>
        </w:rPr>
        <w:t xml:space="preserve">Periodo</w:t>
      </w:r>
      <w:r>
        <w:t xml:space="preserve">: {{ year_start }} – {{ year_end }}</w:t>
      </w:r>
      <w:r>
        <w:t xml:space="preserve"> </w:t>
      </w:r>
      <w:r>
        <w:rPr>
          <w:bCs/>
          <w:b/>
        </w:rPr>
        <w:t xml:space="preserve">Versión</w:t>
      </w:r>
      <w:r>
        <w:t xml:space="preserve">: {{ version }} ·</w:t>
      </w:r>
      <w:r>
        <w:t xml:space="preserve"> </w:t>
      </w:r>
      <w:r>
        <w:rPr>
          <w:bCs/>
          <w:b/>
        </w:rPr>
        <w:t xml:space="preserve">Fecha</w:t>
      </w:r>
      <w:r>
        <w:t xml:space="preserve">: {{ today }}</w:t>
      </w:r>
    </w:p>
    <w:p>
      <w:r>
        <w:pict>
          <v:rect style="width:0;height:1.5pt" o:hralign="center" o:hrstd="t" o:hr="t"/>
        </w:pict>
      </w:r>
    </w:p>
    <w:bookmarkStart w:id="22" w:name="Xe988e84baed3fdd3294573f32970955a6b51839"/>
    <w:p>
      <w:pPr>
        <w:pStyle w:val="Heading2"/>
      </w:pPr>
      <w:r>
        <w:t xml:space="preserve">1. Misión y visión de la seguridad</w:t>
      </w:r>
    </w:p>
    <w:bookmarkStart w:id="20" w:name="X61f45d66b656e121f0f1430599c2b5d761f9cd7"/>
    <w:p>
      <w:pPr>
        <w:pStyle w:val="Heading3"/>
      </w:pPr>
      <w:r>
        <w:t xml:space="preserve">1.1 Misión</w:t>
      </w:r>
    </w:p>
    <w:p>
      <w:pPr>
        <w:pStyle w:val="FirstParagraph"/>
      </w:pPr>
      <w:r>
        <w:t xml:space="preserve">Garantizar la disponibilidad, integridad, confidencialidad,</w:t>
      </w:r>
      <w:r>
        <w:t xml:space="preserve"> </w:t>
      </w:r>
      <w:r>
        <w:t xml:space="preserve">autenticidad y trazabilidad (CIDAT) de la información y los servicios</w:t>
      </w:r>
      <w:r>
        <w:t xml:space="preserve"> </w:t>
      </w:r>
      <w:r>
        <w:t xml:space="preserve">electrónicos de {{ client_name }}, conforme al RD 311/2022 (ENS) y</w:t>
      </w:r>
      <w:r>
        <w:t xml:space="preserve"> </w:t>
      </w:r>
      <w:r>
        <w:t xml:space="preserve">demás normativa aplicable, manteniendo la conformidad continua frente</w:t>
      </w:r>
      <w:r>
        <w:t xml:space="preserve"> </w:t>
      </w:r>
      <w:r>
        <w:t xml:space="preserve">a auditorías ENAC y obligaciones legales (RGPD, NIS2 si aplica).</w:t>
      </w:r>
    </w:p>
    <w:bookmarkEnd w:id="20"/>
    <w:bookmarkStart w:id="21" w:name="X70053d75f8e2731a912bea7fe521549a17d7819"/>
    <w:p>
      <w:pPr>
        <w:pStyle w:val="Heading3"/>
      </w:pPr>
      <w:r>
        <w:t xml:space="preserve">1.2 Visión</w:t>
      </w:r>
    </w:p>
    <w:p>
      <w:pPr>
        <w:pStyle w:val="FirstParagraph"/>
      </w:pPr>
      <w:r>
        <w:t xml:space="preserve">Alcanzar y sostener un nivel de madurez {{ target_maturity_level }}</w:t>
      </w:r>
      <w:r>
        <w:t xml:space="preserve"> </w:t>
      </w:r>
      <w:r>
        <w:t xml:space="preserve">(CMM {{ target_cmm }}) en las familias críticas del Anexo II en el</w:t>
      </w:r>
      <w:r>
        <w:t xml:space="preserve"> </w:t>
      </w:r>
      <w:r>
        <w:t xml:space="preserve">horizonte {{ year_end }}, posicionando la organización como referente</w:t>
      </w:r>
      <w:r>
        <w:t xml:space="preserve"> </w:t>
      </w:r>
      <w:r>
        <w:t xml:space="preserve">en gobernanza de seguridad dentro de su sector.</w:t>
      </w:r>
    </w:p>
    <w:bookmarkEnd w:id="21"/>
    <w:bookmarkEnd w:id="22"/>
    <w:bookmarkStart w:id="25" w:name="X2f8289ceb77550767f2a30b5b641d525a47c013"/>
    <w:p>
      <w:pPr>
        <w:pStyle w:val="Heading2"/>
      </w:pPr>
      <w:r>
        <w:t xml:space="preserve">2. Estrategia trianual</w:t>
      </w:r>
    </w:p>
    <w:bookmarkStart w:id="23" w:name="X0b17b01acf9b3a6c70da96b1e3049f56eb19a01"/>
    <w:p>
      <w:pPr>
        <w:pStyle w:val="Heading3"/>
      </w:pPr>
      <w:r>
        <w:t xml:space="preserve">2.1 Líneas estratégicas</w:t>
      </w:r>
    </w:p>
    <w:p>
      <w:pPr>
        <w:pStyle w:val="FirstParagraph"/>
      </w:pPr>
      <w:r>
        <w:t xml:space="preserve">{% for line in strategic_lines %}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{{ line.title }}</w:t>
      </w:r>
      <w:r>
        <w:t xml:space="preserve"> </w:t>
      </w:r>
      <w:r>
        <w:t xml:space="preserve">— {{ line.description }}</w:t>
      </w:r>
      <w:r>
        <w:t xml:space="preserve"> </w:t>
      </w:r>
      <w:r>
        <w:t xml:space="preserve">{% endfor %}</w:t>
      </w:r>
    </w:p>
    <w:bookmarkEnd w:id="23"/>
    <w:bookmarkStart w:id="24" w:name="X91aac3bae5a6bfe61f07c7238b78e9c196efe6b"/>
    <w:p>
      <w:pPr>
        <w:pStyle w:val="Heading3"/>
      </w:pPr>
      <w:r>
        <w:t xml:space="preserve">2.2 Hitos por año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clave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 year_start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Cierre primera certificación / declaración conformidad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medidas conformes ≥ {{ kpi_y1 }}%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 year_start_plus_1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Madurez CMM {{ target_cmm_y2 }} familias prioritarias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Madurez global L{{ kpi_y2_level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 year_end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Auditoría externa renovación + INES 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 mayores = 0</w:t>
            </w:r>
          </w:p>
        </w:tc>
      </w:tr>
    </w:tbl>
    <w:bookmarkEnd w:id="24"/>
    <w:bookmarkEnd w:id="25"/>
    <w:bookmarkStart w:id="26" w:name="X5de6bf80b956299f0ee058904c9dc1e33e1d5cd"/>
    <w:p>
      <w:pPr>
        <w:pStyle w:val="Heading2"/>
      </w:pPr>
      <w:r>
        <w:t xml:space="preserve">3. Inversión planificada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Capex (€)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Opex (€)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(€)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 year_start 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 capex_y1 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 opex_y1 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 total_y1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 year_start_plus_1 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 capex_y2 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 opex_y2 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 total_y2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 year_end 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 capex_y3 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 opex_y3 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 total_y3 }}</w:t>
            </w:r>
          </w:p>
        </w:tc>
      </w:tr>
    </w:tbl>
    <w:p>
      <w:pPr>
        <w:pStyle w:val="BodyText"/>
      </w:pPr>
      <w:r>
        <w:rPr>
          <w:bCs/>
          <w:b/>
        </w:rPr>
        <w:t xml:space="preserve">Inversión trianual total estimada</w:t>
      </w:r>
      <w:r>
        <w:t xml:space="preserve">: {{ total_3y }} €</w:t>
      </w:r>
    </w:p>
    <w:bookmarkEnd w:id="26"/>
    <w:bookmarkStart w:id="27" w:name="Xdb9ddf2477174d241c5045e225284971ad1151f"/>
    <w:p>
      <w:pPr>
        <w:pStyle w:val="Heading2"/>
      </w:pPr>
      <w:r>
        <w:t xml:space="preserve">4. KPIs de seguimiento (CCN-STIC 815)</w:t>
      </w:r>
    </w:p>
    <w:p>
      <w:pPr>
        <w:numPr>
          <w:ilvl w:val="0"/>
          <w:numId w:val="1002"/>
        </w:numPr>
        <w:pStyle w:val="Compact"/>
      </w:pPr>
      <w:r>
        <w:t xml:space="preserve">Disponibilidad servicios críticos: ≥ {{ kpi_disponibilidad }}%</w:t>
      </w:r>
    </w:p>
    <w:p>
      <w:pPr>
        <w:numPr>
          <w:ilvl w:val="0"/>
          <w:numId w:val="1002"/>
        </w:numPr>
        <w:pStyle w:val="Compact"/>
      </w:pPr>
      <w:r>
        <w:t xml:space="preserve">MTTR incidentes: ≤ {{ kpi_mttr }} h</w:t>
      </w:r>
    </w:p>
    <w:p>
      <w:pPr>
        <w:numPr>
          <w:ilvl w:val="0"/>
          <w:numId w:val="1002"/>
        </w:numPr>
        <w:pStyle w:val="Compact"/>
      </w:pPr>
      <w:r>
        <w:t xml:space="preserve">Cobertura concienciación: 100% personal anual</w:t>
      </w:r>
    </w:p>
    <w:p>
      <w:pPr>
        <w:numPr>
          <w:ilvl w:val="0"/>
          <w:numId w:val="1002"/>
        </w:numPr>
        <w:pStyle w:val="Compact"/>
      </w:pPr>
      <w:r>
        <w:t xml:space="preserve">Tasa cumplimiento medidas Anexo II: ≥ {{ kpi_cumplimiento }}%</w:t>
      </w:r>
    </w:p>
    <w:p>
      <w:pPr>
        <w:numPr>
          <w:ilvl w:val="0"/>
          <w:numId w:val="1002"/>
        </w:numPr>
        <w:pStyle w:val="Compact"/>
      </w:pPr>
      <w:r>
        <w:t xml:space="preserve">Madurez CMM global: ≥ L{{ kpi_madurez }}</w:t>
      </w:r>
    </w:p>
    <w:p>
      <w:pPr>
        <w:numPr>
          <w:ilvl w:val="0"/>
          <w:numId w:val="1002"/>
        </w:numPr>
        <w:pStyle w:val="Compact"/>
      </w:pPr>
      <w:r>
        <w:t xml:space="preserve">INES anual completado y enviado en plazo</w:t>
      </w:r>
    </w:p>
    <w:bookmarkEnd w:id="27"/>
    <w:bookmarkStart w:id="28" w:name="X26385d99bf003a2fbc86785674a976220ead016"/>
    <w:p>
      <w:pPr>
        <w:pStyle w:val="Heading2"/>
      </w:pPr>
      <w:r>
        <w:t xml:space="preserve">5. Responsables alta dirección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ejecutivo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sponsor_name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Aprobación presupuesto + revisión 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Comité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comite_chair }} (presidencia)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Sesiones trimestrales · escalado riesgos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Seguridad (RSEG)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rseg_name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 plan + reporte cuatrimestral</w:t>
            </w:r>
          </w:p>
        </w:tc>
      </w:tr>
    </w:tbl>
    <w:bookmarkEnd w:id="28"/>
    <w:bookmarkStart w:id="29" w:name="X64f7b1ffb5ee91ca8e4914077f356b6853d8c4d"/>
    <w:p>
      <w:pPr>
        <w:pStyle w:val="Heading2"/>
      </w:pPr>
      <w:r>
        <w:t xml:space="preserve">6. Revisión y actualización</w:t>
      </w:r>
    </w:p>
    <w:p>
      <w:pPr>
        <w:pStyle w:val="FirstParagraph"/>
      </w:pPr>
      <w:r>
        <w:t xml:space="preserve">El presente Plan Director se revisa anualmente con ocasión de:</w:t>
      </w:r>
    </w:p>
    <w:p>
      <w:pPr>
        <w:numPr>
          <w:ilvl w:val="0"/>
          <w:numId w:val="1003"/>
        </w:numPr>
        <w:pStyle w:val="Compact"/>
      </w:pPr>
      <w:r>
        <w:t xml:space="preserve">Acta de revisión por la Dirección</w:t>
      </w:r>
    </w:p>
    <w:p>
      <w:pPr>
        <w:numPr>
          <w:ilvl w:val="0"/>
          <w:numId w:val="1003"/>
        </w:numPr>
        <w:pStyle w:val="Compact"/>
      </w:pPr>
      <w:r>
        <w:t xml:space="preserve">Resultados auditoría externa (Media/Alta)</w:t>
      </w:r>
    </w:p>
    <w:p>
      <w:pPr>
        <w:numPr>
          <w:ilvl w:val="0"/>
          <w:numId w:val="1003"/>
        </w:numPr>
        <w:pStyle w:val="Compact"/>
      </w:pPr>
      <w:r>
        <w:t xml:space="preserve">Cambios sustanciales (nuevo CPD, fusión, cambio cloud) que disparan</w:t>
      </w:r>
      <w:r>
        <w:t xml:space="preserve"> </w:t>
      </w:r>
      <w:r>
        <w:t xml:space="preserve">auditoría extraordinaria art. 31</w:t>
      </w:r>
    </w:p>
    <w:p>
      <w:pPr>
        <w:pStyle w:val="FirstParagraph"/>
      </w:pPr>
      <w:r>
        <w:t xml:space="preserve">Las actualizaciones aprobadas se versionan en este documento, manteniendo</w:t>
      </w:r>
      <w:r>
        <w:t xml:space="preserve"> </w:t>
      </w:r>
      <w:r>
        <w:t xml:space="preserve">trazabilidad de decisiones y firmantes.</w:t>
      </w:r>
    </w:p>
    <w:p>
      <w:r>
        <w:pict>
          <v:rect style="width:0;height:1.5pt" o:hralign="center" o:hrstd="t" o:hr="t"/>
        </w:pict>
      </w:r>
    </w:p>
    <w:bookmarkEnd w:id="29"/>
    <w:bookmarkStart w:id="30" w:name="aprobación"/>
    <w:p>
      <w:pPr>
        <w:pStyle w:val="Heading2"/>
      </w:pPr>
      <w:r>
        <w:t xml:space="preserve">Aprobación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ejecutivo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Seguridad (RSEG)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generado por FULKRO conforme RD 311/2022 + CCN-STIC 806/815.</w:t>
      </w:r>
      <w:r>
        <w:t xml:space="preserve"> </w:t>
      </w:r>
      <w:r>
        <w:rPr>
          <w:iCs/>
          <w:i/>
        </w:rPr>
        <w:t xml:space="preserve">Plantilla E170 · v{{ template_version }}.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2026-05-21T17:11:01Z</dcterms:created>
  <dcterms:modified xsi:type="dcterms:W3CDTF">2026-05-21T17:11:01Z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