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52f795504c346f4d4cf1de62677ac4a3b1d287"/>
    <w:p>
      <w:pPr>
        <w:pStyle w:val="Heading1"/>
      </w:pPr>
      <w:r>
        <w:t xml:space="preserve">Declaración de Conformidad con el Esquema Nacional de Seguridad (Categoría Básica)</w:t>
      </w:r>
    </w:p>
    <w:p>
      <w:pPr>
        <w:pStyle w:val="FirstParagraph"/>
      </w:pPr>
      <w:r>
        <w:rPr>
          <w:bCs/>
          <w:b/>
        </w:rPr>
        <w:t xml:space="preserve">Cliente</w:t>
      </w:r>
      <w:r>
        <w:t xml:space="preserve">: {{ client_name }}</w:t>
      </w:r>
      <w:r>
        <w:t xml:space="preserve"> </w:t>
      </w:r>
      <w:r>
        <w:rPr>
          <w:bCs/>
          <w:b/>
        </w:rPr>
        <w:t xml:space="preserve">CIF</w:t>
      </w:r>
      <w:r>
        <w:t xml:space="preserve">: {{ client_cif }}</w:t>
      </w:r>
      <w:r>
        <w:t xml:space="preserve"> </w:t>
      </w:r>
      <w:r>
        <w:rPr>
          <w:bCs/>
          <w:b/>
        </w:rPr>
        <w:t xml:space="preserve">Sistema</w:t>
      </w:r>
      <w:r>
        <w:t xml:space="preserve">: {{ system_name }}</w:t>
      </w:r>
      <w:r>
        <w:t xml:space="preserve"> </w:t>
      </w:r>
      <w:r>
        <w:rPr>
          <w:bCs/>
          <w:b/>
        </w:rPr>
        <w:t xml:space="preserve">Categoría</w:t>
      </w:r>
      <w:r>
        <w:t xml:space="preserve">: {{ system_category }}</w:t>
      </w:r>
      <w:r>
        <w:t xml:space="preserve"> </w:t>
      </w:r>
      <w:r>
        <w:rPr>
          <w:bCs/>
          <w:b/>
        </w:rPr>
        <w:t xml:space="preserve">Identificador certificado</w:t>
      </w:r>
      <w:r>
        <w:t xml:space="preserve">: {{ cert_id }}</w:t>
      </w:r>
      <w:r>
        <w:t xml:space="preserve"> </w:t>
      </w:r>
      <w:r>
        <w:rPr>
          <w:bCs/>
          <w:b/>
        </w:rPr>
        <w:t xml:space="preserve">Fecha de emisión</w:t>
      </w:r>
      <w:r>
        <w:t xml:space="preserve">: {{ today }}</w:t>
      </w:r>
      <w:r>
        <w:t xml:space="preserve"> </w:t>
      </w:r>
      <w:r>
        <w:rPr>
          <w:bCs/>
          <w:b/>
        </w:rPr>
        <w:t xml:space="preserve">Vigencia</w:t>
      </w:r>
      <w:r>
        <w:t xml:space="preserve">: 2 años (vencimiento {{ expiry_date }})</w:t>
      </w:r>
    </w:p>
    <w:p>
      <w:r>
        <w:pict>
          <v:rect style="width:0;height:1.5pt" o:hralign="center" o:hrstd="t" o:hr="t"/>
        </w:pict>
      </w:r>
    </w:p>
    <w:bookmarkStart w:id="20" w:name="X5c6739fef03f36719aa276c8dace9a06400c8a6"/>
    <w:p>
      <w:pPr>
        <w:pStyle w:val="Heading2"/>
      </w:pPr>
      <w:r>
        <w:t xml:space="preserve">1. Identificación de la entidad</w:t>
      </w:r>
    </w:p>
    <w:p>
      <w:pPr>
        <w:pStyle w:val="FirstParagraph"/>
      </w:pPr>
      <w:r>
        <w:t xml:space="preserve">{{ client_name }} ({{ client_cif }}), con domicilio en {{ client_domicilio }},</w:t>
      </w:r>
      <w:r>
        <w:t xml:space="preserve"> </w:t>
      </w:r>
      <w:r>
        <w:t xml:space="preserve">declara haber cumplido los requisitos del Esquema Nacional de Seguridad</w:t>
      </w:r>
      <w:r>
        <w:t xml:space="preserve"> </w:t>
      </w:r>
      <w:r>
        <w:t xml:space="preserve">(RD 311/2022) en la</w:t>
      </w:r>
      <w:r>
        <w:t xml:space="preserve"> </w:t>
      </w:r>
      <w:r>
        <w:rPr>
          <w:bCs/>
          <w:b/>
        </w:rPr>
        <w:t xml:space="preserve">Categoría {{ system_category }}</w:t>
      </w:r>
      <w:r>
        <w:t xml:space="preserve">, conforme al</w:t>
      </w:r>
      <w:r>
        <w:t xml:space="preserve"> </w:t>
      </w:r>
      <w:r>
        <w:t xml:space="preserve">procedimiento de autoevaluación previsto en CCN-STIC 809 para sistemas</w:t>
      </w:r>
      <w:r>
        <w:t xml:space="preserve"> </w:t>
      </w:r>
      <w:r>
        <w:t xml:space="preserve">clasificados como BÁSICA.</w:t>
      </w:r>
    </w:p>
    <w:bookmarkEnd w:id="20"/>
    <w:bookmarkStart w:id="21" w:name="X88e7a309a8a6dcf88653b5703711a9620c2da86"/>
    <w:p>
      <w:pPr>
        <w:pStyle w:val="Heading2"/>
      </w:pPr>
      <w:r>
        <w:t xml:space="preserve">2. Sistema certificado y alcance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Sistema</w:t>
      </w:r>
      <w:r>
        <w:t xml:space="preserve">: {{ system_name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Servicios prestados</w:t>
      </w:r>
      <w:r>
        <w:t xml:space="preserve">: {{ services_summary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Tipos de información</w:t>
      </w:r>
      <w:r>
        <w:t xml:space="preserve">: {{ information_summary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Inventario activos esenciales</w:t>
      </w:r>
      <w:r>
        <w:t xml:space="preserve">: {{ assets_essential_count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Periodo de la declaración</w:t>
      </w:r>
      <w:r>
        <w:t xml:space="preserve">: {{ today }} – {{ expiry_date }}</w:t>
      </w:r>
    </w:p>
    <w:bookmarkEnd w:id="21"/>
    <w:bookmarkStart w:id="22" w:name="X85e6c5c4fa160c59a8ce20b0778af7d22f959c3"/>
    <w:p>
      <w:pPr>
        <w:pStyle w:val="Heading2"/>
      </w:pPr>
      <w:r>
        <w:t xml:space="preserve">3. Categoría del sistema</w:t>
      </w:r>
    </w:p>
    <w:p>
      <w:pPr>
        <w:pStyle w:val="FirstParagraph"/>
      </w:pPr>
      <w:r>
        <w:t xml:space="preserve">Conforme al RD 311/2022 Anexo I (regla del máximo aplicada sobre las</w:t>
      </w:r>
      <w:r>
        <w:t xml:space="preserve"> </w:t>
      </w:r>
      <w:r>
        <w:t xml:space="preserve">dimensiones D-I-C-A-T), el sistema {{ system_name }} se ha clasificado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Categoría {{ system_category }}</w:t>
      </w:r>
      <w:r>
        <w:t xml:space="preserve">.</w:t>
      </w:r>
    </w:p>
    <w:bookmarkEnd w:id="22"/>
    <w:bookmarkStart w:id="23" w:name="Xde3d5a62a9c714b7d3de23f3564b45ba872893e"/>
    <w:p>
      <w:pPr>
        <w:pStyle w:val="Heading2"/>
      </w:pPr>
      <w:r>
        <w:t xml:space="preserve">4. Resultado de la autoevaluación</w:t>
      </w:r>
    </w:p>
    <w:p>
      <w:pPr>
        <w:pStyle w:val="FirstParagraph"/>
      </w:pPr>
      <w:r>
        <w:t xml:space="preserve">Total medidas Anexo II evaluadas:</w:t>
      </w:r>
      <w:r>
        <w:t xml:space="preserve"> </w:t>
      </w:r>
      <w:r>
        <w:rPr>
          <w:bCs/>
          <w:b/>
        </w:rPr>
        <w:t xml:space="preserve">{{ dda_total }}</w:t>
      </w:r>
    </w:p>
    <w:p>
      <w:pPr>
        <w:numPr>
          <w:ilvl w:val="0"/>
          <w:numId w:val="1002"/>
        </w:numPr>
        <w:pStyle w:val="Compact"/>
      </w:pPr>
      <w:r>
        <w:t xml:space="preserve">Aplicables (base): {{ dda_aplicables }}</w:t>
      </w:r>
    </w:p>
    <w:p>
      <w:pPr>
        <w:numPr>
          <w:ilvl w:val="0"/>
          <w:numId w:val="1002"/>
        </w:numPr>
        <w:pStyle w:val="Compact"/>
      </w:pPr>
      <w:r>
        <w:t xml:space="preserve">Aplicables con refuerzos: {{ dda_con_refuerzos }}</w:t>
      </w:r>
    </w:p>
    <w:p>
      <w:pPr>
        <w:numPr>
          <w:ilvl w:val="0"/>
          <w:numId w:val="1002"/>
        </w:numPr>
        <w:pStyle w:val="Compact"/>
      </w:pPr>
      <w:r>
        <w:t xml:space="preserve">No aplicables (justificadas): {{ dda_no_aplica }}</w:t>
      </w:r>
    </w:p>
    <w:p>
      <w:pPr>
        <w:numPr>
          <w:ilvl w:val="0"/>
          <w:numId w:val="1002"/>
        </w:numPr>
        <w:pStyle w:val="Compact"/>
      </w:pPr>
      <w:r>
        <w:t xml:space="preserve">Conformes: {{ conformes_count }}</w:t>
      </w:r>
    </w:p>
    <w:p>
      <w:pPr>
        <w:numPr>
          <w:ilvl w:val="0"/>
          <w:numId w:val="1002"/>
        </w:numPr>
        <w:pStyle w:val="Compact"/>
      </w:pPr>
      <w:r>
        <w:t xml:space="preserve">No conformes: {{ no_conformes_count }}</w:t>
      </w:r>
    </w:p>
    <w:p>
      <w:pPr>
        <w:numPr>
          <w:ilvl w:val="0"/>
          <w:numId w:val="1002"/>
        </w:numPr>
        <w:pStyle w:val="Compact"/>
      </w:pPr>
      <w:r>
        <w:t xml:space="preserve">Porcentaje conformidad: {{ pct_conformidad }}%</w:t>
      </w:r>
    </w:p>
    <w:p>
      <w:pPr>
        <w:pStyle w:val="FirstParagraph"/>
      </w:pPr>
      <w:r>
        <w:t xml:space="preserve">La Declaración de Aplicabilidad (DdA) firmada por el Responsable de</w:t>
      </w:r>
      <w:r>
        <w:t xml:space="preserve"> </w:t>
      </w:r>
      <w:r>
        <w:t xml:space="preserve">Seguridad y el detalle del análisis de riesgos MAGERIT v3 quedan</w:t>
      </w:r>
      <w:r>
        <w:t xml:space="preserve"> </w:t>
      </w:r>
      <w:r>
        <w:t xml:space="preserve">custodiados en el repositorio FULKRO con identificador del proyecto</w:t>
      </w:r>
      <w:r>
        <w:t xml:space="preserve"> </w:t>
      </w:r>
      <w:r>
        <w:t xml:space="preserve">{{ project_id }} y son aportables a CCN-CERT bajo demanda.</w:t>
      </w:r>
    </w:p>
    <w:bookmarkEnd w:id="23"/>
    <w:bookmarkStart w:id="24" w:name="X1656676d7ef7e0ec965aebc954f165e9ce0543e"/>
    <w:p>
      <w:pPr>
        <w:pStyle w:val="Heading2"/>
      </w:pPr>
      <w:r>
        <w:t xml:space="preserve">5. Distintivo de conformidad</w:t>
      </w:r>
    </w:p>
    <w:p>
      <w:pPr>
        <w:pStyle w:val="FirstParagraph"/>
      </w:pPr>
      <w:r>
        <w:t xml:space="preserve">Conforme a CCN-STIC 809, esta entidad publicará el distintivo de</w:t>
      </w:r>
      <w:r>
        <w:t xml:space="preserve"> </w:t>
      </w:r>
      <w:r>
        <w:t xml:space="preserve">conformidad en su sede electrónica con URL:</w:t>
      </w:r>
    </w:p>
    <w:p>
      <w:pPr>
        <w:pStyle w:val="SourceCode"/>
      </w:pPr>
      <w:r>
        <w:rPr>
          <w:rStyle w:val="VerbatimChar"/>
        </w:rPr>
        <w:t xml:space="preserve">{{ public_badge_url }}</w:t>
      </w:r>
    </w:p>
    <w:p>
      <w:pPr>
        <w:pStyle w:val="FirstParagraph"/>
      </w:pPr>
      <w:r>
        <w:t xml:space="preserve">El distintivo incluye firma digital Ed25519 verificable contra la</w:t>
      </w:r>
      <w:r>
        <w:t xml:space="preserve"> </w:t>
      </w:r>
      <w:r>
        <w:t xml:space="preserve">clave pública FULKRO publicada en</w:t>
      </w:r>
      <w:r>
        <w:t xml:space="preserve"> </w:t>
      </w:r>
      <w:r>
        <w:rPr>
          <w:rStyle w:val="VerbatimChar"/>
        </w:rPr>
        <w:t xml:space="preserve">/api/v1/auth/public-key</w:t>
      </w:r>
      <w:r>
        <w:t xml:space="preserve">.</w:t>
      </w:r>
    </w:p>
    <w:bookmarkEnd w:id="24"/>
    <w:bookmarkStart w:id="25" w:name="Xea0cc1d7801164dfbde94ba12c7379e016ecfac"/>
    <w:p>
      <w:pPr>
        <w:pStyle w:val="Heading2"/>
      </w:pPr>
      <w:r>
        <w:t xml:space="preserve">6. Compromiso de mantenimiento</w:t>
      </w:r>
    </w:p>
    <w:p>
      <w:pPr>
        <w:pStyle w:val="FirstParagraph"/>
      </w:pPr>
      <w:r>
        <w:t xml:space="preserve">{{ client_name }} se compromete a:</w:t>
      </w:r>
    </w:p>
    <w:p>
      <w:pPr>
        <w:numPr>
          <w:ilvl w:val="0"/>
          <w:numId w:val="1003"/>
        </w:numPr>
        <w:pStyle w:val="Compact"/>
      </w:pPr>
      <w:r>
        <w:t xml:space="preserve">Mantener vigentes las medidas declaradas durante el periodo de</w:t>
      </w:r>
      <w:r>
        <w:t xml:space="preserve"> </w:t>
      </w:r>
      <w:r>
        <w:t xml:space="preserve">conformidad (2 años).</w:t>
      </w:r>
      <w:r>
        <w:t xml:space="preserve"> </w:t>
      </w:r>
      <w:r>
        <w:t xml:space="preserve">{% if cliente.sector_aplicacion == 'publico' %}</w:t>
      </w:r>
    </w:p>
    <w:p>
      <w:pPr>
        <w:numPr>
          <w:ilvl w:val="0"/>
          <w:numId w:val="1003"/>
        </w:numPr>
        <w:pStyle w:val="Compact"/>
      </w:pPr>
      <w:r>
        <w:t xml:space="preserve">Notificar a CCN-CERT vía LUCIA cualquier incidente significativo</w:t>
      </w:r>
      <w:r>
        <w:t xml:space="preserve"> </w:t>
      </w:r>
      <w:r>
        <w:t xml:space="preserve">conforme art. 33 RD 311/2022.</w:t>
      </w:r>
      <w:r>
        <w:t xml:space="preserve"> </w:t>
      </w:r>
      <w:r>
        <w:t xml:space="preserve">{% else %}</w:t>
      </w:r>
    </w:p>
    <w:p>
      <w:pPr>
        <w:numPr>
          <w:ilvl w:val="0"/>
          <w:numId w:val="1003"/>
        </w:numPr>
        <w:pStyle w:val="Compact"/>
      </w:pPr>
      <w:r>
        <w:t xml:space="preserve">Notificar a CCN-CERT cualquier incidente significativo conforme</w:t>
      </w:r>
      <w:r>
        <w:t xml:space="preserve"> </w:t>
      </w:r>
      <w:r>
        <w:t xml:space="preserve">art. 33 RD 311/2022 (LUCIA aplica con carácter recomendado para</w:t>
      </w:r>
      <w:r>
        <w:t xml:space="preserve"> </w:t>
      </w:r>
      <w:r>
        <w:t xml:space="preserve">sector privado bajo ENS · obligatoria para sector público).</w:t>
      </w:r>
      <w:r>
        <w:t xml:space="preserve"> </w:t>
      </w:r>
      <w:r>
        <w:t xml:space="preserve">{% endif %}</w:t>
      </w:r>
    </w:p>
    <w:p>
      <w:pPr>
        <w:numPr>
          <w:ilvl w:val="0"/>
          <w:numId w:val="1003"/>
        </w:numPr>
        <w:pStyle w:val="Compact"/>
      </w:pPr>
      <w:r>
        <w:t xml:space="preserve">Ejecutar autoevaluación o reauditoría antes del vencimiento.</w:t>
      </w:r>
    </w:p>
    <w:p>
      <w:pPr>
        <w:numPr>
          <w:ilvl w:val="0"/>
          <w:numId w:val="1003"/>
        </w:numPr>
        <w:pStyle w:val="Compact"/>
      </w:pPr>
      <w:r>
        <w:t xml:space="preserve">Disparar auditoría extraordinaria ante cambios sustanciales</w:t>
      </w:r>
      <w:r>
        <w:t xml:space="preserve"> </w:t>
      </w:r>
      <w:r>
        <w:t xml:space="preserve">(nuevo CPD, fusión, cambio cloud) conforme art. 31.</w:t>
      </w:r>
    </w:p>
    <w:bookmarkEnd w:id="25"/>
    <w:bookmarkStart w:id="26" w:name="Xf9d42d9b500fcfd3795e358e8a49b0ad95fc68c"/>
    <w:p>
      <w:pPr>
        <w:pStyle w:val="Heading2"/>
      </w:pPr>
      <w:r>
        <w:t xml:space="preserve">7. Firma del Responsable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RSEG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rseg_name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RSEG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rseg_email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conforme CCN-STIC 809 · RD 311/2022.</w:t>
      </w:r>
      <w:r>
        <w:t xml:space="preserve"> </w:t>
      </w:r>
      <w:r>
        <w:rPr>
          <w:iCs/>
          <w:i/>
        </w:rPr>
        <w:t xml:space="preserve">Plantilla E180 · v{{ template_version }}.</w:t>
      </w:r>
      <w:r>
        <w:t xml:space="preserve"> </w:t>
      </w:r>
      <w:r>
        <w:rPr>
          <w:iCs/>
          <w:i/>
        </w:rPr>
        <w:t xml:space="preserve">Identificador único: {{ cert_id }}.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2026-05-21T17:11:01Z</dcterms:created>
  <dcterms:modified xsi:type="dcterms:W3CDTF">2026-05-21T17:11:01Z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