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X07678ce24804f1dc198be46a24678ef91e0ea01"/>
    <w:p>
      <w:pPr>
        <w:pStyle w:val="Heading1"/>
      </w:pPr>
      <w:r>
        <w:t xml:space="preserve">PROCEDIMIENTO DE CAMBIO DE ROL O FUNCIONES DE {{ cliente.razon_social | upper }}</w:t>
      </w:r>
    </w:p>
    <w:p>
      <w:pPr>
        <w:pStyle w:val="FirstParagraph"/>
      </w:pPr>
      <w:r>
        <w:rPr>
          <w:bCs/>
          <w:b/>
        </w:rPr>
        <w:t xml:space="preserve">Documento {{ proyecto.codigo_documento_base }}-202 — Versión {{ proyecto.version_actual }}</w:t>
      </w:r>
    </w:p>
    <w:p>
      <w:r>
        <w:pict>
          <v:rect style="width:0;height:1.5pt" o:hralign="center" o:hrstd="t" o:hr="t"/>
        </w:pict>
      </w:r>
    </w:p>
    <w:bookmarkStart w:id="20" w:name="objeto"/>
    <w:p>
      <w:pPr>
        <w:pStyle w:val="Heading2"/>
      </w:pPr>
      <w:r>
        <w:t xml:space="preserve">1. OBJETO</w:t>
      </w:r>
    </w:p>
    <w:p>
      <w:pPr>
        <w:pStyle w:val="FirstParagraph"/>
      </w:pPr>
      <w:r>
        <w:t xml:space="preserve">Garantizar que cuando una persona cambia de puesto, departamento o funciones dentro de {{ cliente.razon_social }}, sus accesos se ajustan al nuevo rol aplicando el principio de mínimo privilegio, revocando los accesos del puesto anterior que dejen de ser necesarios.</w:t>
      </w:r>
    </w:p>
    <w:bookmarkEnd w:id="20"/>
    <w:bookmarkStart w:id="21" w:name="flujo-operativo"/>
    <w:p>
      <w:pPr>
        <w:pStyle w:val="Heading2"/>
      </w:pPr>
      <w:r>
        <w:t xml:space="preserve">2. FLUJO OPERATIVO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Plazo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RRHH notifica el cambio al Resp. Seguridad: persona, puesto anterior, puesto nuevo, fecha efectiva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RRHH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5 días hábiles antes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Resp. Seguridad determina el nuevo perfil de acceso y lo compara con el actual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Resp. Seguridad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días hábiles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Revocación de accesos del puesto anterior</w:t>
            </w:r>
            <w:r>
              <w:t xml:space="preserve"> </w:t>
            </w:r>
            <w:r>
              <w:t xml:space="preserve">que no sean necesarios en el nuevo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Resp. Sistema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Fecha del cambio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Provisión de accesos nuevos</w:t>
            </w:r>
            <w:r>
              <w:t xml:space="preserve"> </w:t>
            </w:r>
            <w:r>
              <w:t xml:space="preserve">requeridos por el nuevo puesto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Resp. Sistema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 3 días hábiles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Verificación de que no quedan privilegios residuales del puesto anterior (</w:t>
            </w:r>
            <w:r>
              <w:rPr>
                <w:iCs/>
                <w:i/>
              </w:rPr>
              <w:t xml:space="preserve">privilege creep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Resp. Seguridad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días hábiles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Formación específica de seguridad del nuevo puesto si procede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Resp. jerárquico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días hábiles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Registro del cambio en el sistema de gestión de identidades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Resp. Sistema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Fecha del cambio</w:t>
            </w:r>
          </w:p>
        </w:tc>
      </w:tr>
    </w:tbl>
    <w:bookmarkEnd w:id="21"/>
    <w:bookmarkStart w:id="22" w:name="regla-anti-acumulación"/>
    <w:p>
      <w:pPr>
        <w:pStyle w:val="Heading2"/>
      </w:pPr>
      <w:r>
        <w:t xml:space="preserve">3. REGLA ANTI-ACUMULACIÓN</w:t>
      </w:r>
    </w:p>
    <w:p>
      <w:pPr>
        <w:pStyle w:val="FirstParagraph"/>
      </w:pPr>
      <w:r>
        <w:t xml:space="preserve">Cuando la persona haya ocupado 3 o más puestos distintos en los últimos 3 años, el Resp. Seguridad realizará una</w:t>
      </w:r>
      <w:r>
        <w:t xml:space="preserve"> </w:t>
      </w:r>
      <w:r>
        <w:rPr>
          <w:bCs/>
          <w:b/>
        </w:rPr>
        <w:t xml:space="preserve">revisión completa</w:t>
      </w:r>
      <w:r>
        <w:t xml:space="preserve"> </w:t>
      </w:r>
      <w:r>
        <w:t xml:space="preserve">de todos sus accesos vigentes para detectar acumulación de privilegios residuales. Esta revisión se documenta como evidencia.</w:t>
      </w:r>
    </w:p>
    <w:bookmarkEnd w:id="22"/>
    <w:bookmarkStart w:id="23" w:name="indicadores"/>
    <w:p>
      <w:pPr>
        <w:pStyle w:val="Heading2"/>
      </w:pPr>
      <w:r>
        <w:t xml:space="preserve">4. INDICADORES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Indicador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Objetivo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Cambios con revisión de accesos completada en plazo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Privilegios residuales detectados en revisiones post-cambio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Documento {{ proyecto.codigo_documento_base }}-202 — Versión {{ proyecto.version_actual }} — Clasificación: INTERNA</w:t>
      </w:r>
    </w:p>
    <w:bookmarkEnd w:id="23"/>
    <w:bookmarkEnd w:id="24"/>
    <w:sectPr>
      <w:headerReference w:type="default" r:id="rId9"/>
      <w:footerReference w:type="default" r:id="rId1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tblLayout w:type="fixed"/>
      <w:tblLook w:firstColumn="1" w:firstRow="1" w:lastColumn="0" w:lastRow="0" w:noHBand="0" w:noVBand="1" w:val="04A0"/>
    </w:tblPr>
    <w:tblGrid>
      <w:gridCol w:w="3024"/>
      <w:gridCol w:w="3024"/>
      <w:gridCol w:w="3024"/>
    </w:tblGrid>
    <w:tr>
      <w:tc>
        <w:tcPr>
          <w:tcW w:type="dxa" w:w="3810"/>
        </w:tcPr>
        <w:p>
          <w:pPr>
            <w:jc w:val="left"/>
          </w:pPr>
          <w:r>
            <w:rPr>
              <w:b w:val="0"/>
              <w:color w:val="6B7280"/>
              <w:sz w:val="16"/>
            </w:rPr>
            <w:t>CONFIDENCIAL — {{ cliente.razon_social }}</w:t>
          </w:r>
        </w:p>
      </w:tc>
      <w:tc>
        <w:tcPr>
          <w:tcW w:type="dxa" w:w="2540"/>
        </w:tcPr>
        <w:p>
          <w:pPr>
            <w:jc w:val="center"/>
          </w:pPr>
          <w:r>
            <w:rPr>
              <w:b w:val="0"/>
              <w:color w:val="6B7280"/>
              <w:sz w:val="16"/>
            </w:rPr>
            <w:t>E-202 · v{{ proyecto.version_actual }}</w:t>
          </w:r>
        </w:p>
      </w:tc>
      <w:tc>
        <w:tcPr>
          <w:tcW w:type="dxa" w:w="2721"/>
        </w:tcPr>
        <w:p>
          <w:pPr>
            <w:jc w:val="right"/>
          </w:pPr>
          <w:r>
            <w:rPr>
              <w:b w:val="0"/>
              <w:color w:val="6B7280"/>
              <w:sz w:val="16"/>
            </w:rPr>
            <w:t xml:space="preserve">Página </w:t>
          </w:r>
          <w:r>
            <w:rPr>
              <w:b w:val="0"/>
              <w:color w:val="6B7280"/>
              <w:sz w:val="16"/>
            </w:rPr>
            <w:fldChar w:fldCharType="begin"/>
            <w:instrText xml:space="preserve">PAGE</w:instrText>
            <w:fldChar w:fldCharType="end"/>
          </w:r>
          <w:r>
            <w:rPr>
              <w:b w:val="0"/>
              <w:color w:val="6B7280"/>
              <w:sz w:val="16"/>
            </w:rPr>
            <w:t xml:space="preserve"> / </w:t>
          </w:r>
          <w:r>
            <w:rPr>
              <w:b w:val="0"/>
              <w:color w:val="6B7280"/>
              <w:sz w:val="16"/>
            </w:rPr>
            <w:fldChar w:fldCharType="begin"/>
            <w:instrText xml:space="preserve">NUMPAGES</w:instrText>
            <w:fldChar w:fldCharType="end"/>
          </w:r>
        </w:p>
      </w:tc>
    </w:tr>
  </w:tbl>
  <w:p>
    <w:r>
      <w:rPr>
        <w:sz w:val="2"/>
      </w:rPr>
      <w:t>&lt;!--FX_FTR_V2--&gt;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jc w:val="center"/>
      <w:tblLayout w:type="fixed"/>
      <w:tblLook w:firstColumn="1" w:firstRow="1" w:lastColumn="0" w:lastRow="0" w:noHBand="0" w:noVBand="1" w:val="04A0"/>
    </w:tblPr>
    <w:tblGrid>
      <w:gridCol w:w="3024"/>
      <w:gridCol w:w="3024"/>
      <w:gridCol w:w="3024"/>
    </w:tblGrid>
    <w:tr>
      <w:tc>
        <w:tcPr>
          <w:tcW w:type="dxa" w:w="3447"/>
        </w:tcPr>
        <w:p>
          <w:pPr>
            <w:jc w:val="left"/>
          </w:pPr>
          <w:r>
            <w:rPr>
              <w:b/>
              <w:color w:val="0B1F3A"/>
              <w:sz w:val="22"/>
            </w:rPr>
            <w:t>{{ cliente.header_brand }}</w:t>
          </w:r>
        </w:p>
      </w:tc>
      <w:tc>
        <w:tcPr>
          <w:tcW w:type="dxa" w:w="3084"/>
        </w:tcPr>
        <w:p>
          <w:pPr>
            <w:jc w:val="center"/>
          </w:pPr>
          <w:r>
            <w:rPr>
              <w:b w:val="0"/>
              <w:color w:val="6B7280"/>
              <w:sz w:val="18"/>
            </w:rPr>
            <w:t>E-202 · Documento E-202</w:t>
            <w:br/>
            <w:t>versión {{ proyecto.version_actual }}</w:t>
          </w:r>
        </w:p>
      </w:tc>
      <w:tc>
        <w:tcPr>
          <w:tcW w:type="dxa" w:w="2540"/>
        </w:tcPr>
        <w:p>
          <w:pPr>
            <w:jc w:val="right"/>
          </w:pPr>
          <w:r>
            <w:rPr>
              <w:b w:val="0"/>
              <w:color w:val="0B1F3A"/>
              <w:sz w:val="18"/>
            </w:rPr>
            <w:t>{{ consultor.header_brand }}</w:t>
          </w:r>
        </w:p>
      </w:tc>
    </w:tr>
  </w:tbl>
  <w:p>
    <w:r>
      <w:rPr>
        <w:sz w:val="2"/>
      </w:rPr>
      <w:t>&lt;!--FX_HDR_V2--&gt;</w:t>
    </w:r>
  </w:p>
</w:hdr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2026-04-14T18:00:38Z</dcterms:created>
  <dcterms:modified xsi:type="dcterms:W3CDTF">2026-04-14T18:00:38Z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ificacion">
    <vt:lpwstr>INTERNA</vt:lpwstr>
  </property>
  <property fmtid="{D5CDD505-2E9C-101B-9397-08002B2CF9AE}" pid="3" name="codigo_documento">
    <vt:lpwstr>{{ proyecto.codigo_documento_base }}-202</vt:lpwstr>
  </property>
  <property fmtid="{D5CDD505-2E9C-101B-9397-08002B2CF9AE}" pid="4" name="politica_madre">
    <vt:lpwstr>{{ proyecto.codigo_documento_base }}-101, {{ proyecto.codigo_documento_base }}-124</vt:lpwstr>
  </property>
  <property fmtid="{D5CDD505-2E9C-101B-9397-08002B2CF9AE}" pid="5" name="titulo">
    <vt:lpwstr>Procedimiento de Cambio de Rol o Funciones</vt:lpwstr>
  </property>
  <property fmtid="{D5CDD505-2E9C-101B-9397-08002B2CF9AE}" pid="6" name="version">
    <vt:lpwstr>{{ proyecto.version_actual }}</vt:lpwstr>
  </property>
</Properties>
</file>