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aafc3910d7881bc884dbec1482b48a87284b62"/>
    <w:p>
      <w:pPr>
        <w:pStyle w:val="Heading1"/>
      </w:pPr>
      <w:r>
        <w:t xml:space="preserve">PROCEDIMIENTO DE GESTIÓN DE INCIDENTES DE SEGURIDAD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}}-204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las acciones operativas concretas que deben realizarse desde la detección de un incidente o sospecha de incidente de seguridad de la información hasta su cierre formal y la incorporación de las lecciones aprendidas, en desarrollo de la Política de Gestión de Incidentes ({{ proyecto.codigo_documento_base }}-103).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procedimiento se aplica a todo evento o incidente de seguridad que afecte o pueda afectar a los activos comprendidos en el alcance del SGSI, sin perjuicio de los procedimientos específicos que pudieran existir para tipologías concretas de incidente.</w:t>
      </w:r>
    </w:p>
    <w:bookmarkEnd w:id="21"/>
    <w:bookmarkStart w:id="22" w:name="canales-de-notificación-interna"/>
    <w:p>
      <w:pPr>
        <w:pStyle w:val="Heading2"/>
      </w:pPr>
      <w:r>
        <w:t xml:space="preserve">3. CANALES DE NOTIFICACIÓN INTERNA</w:t>
      </w:r>
    </w:p>
    <w:p>
      <w:pPr>
        <w:pStyle w:val="FirstParagraph"/>
      </w:pPr>
      <w:r>
        <w:t xml:space="preserve">Cualquier persona que detecte un evento o incidente de seguridad</w:t>
      </w:r>
      <w:r>
        <w:t xml:space="preserve"> </w:t>
      </w:r>
      <w:r>
        <w:rPr>
          <w:bCs/>
          <w:b/>
        </w:rPr>
        <w:t xml:space="preserve">debe notificarlo de inmediato</w:t>
      </w:r>
      <w:r>
        <w:t xml:space="preserve"> </w:t>
      </w:r>
      <w:r>
        <w:t xml:space="preserve">a través de uno de los siguientes canales, en orden de preferencia: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Buzón corporativo de incidentes:</w:t>
      </w:r>
      <w:r>
        <w:t xml:space="preserve"> </w:t>
      </w:r>
      <w:r>
        <w:rPr>
          <w:rStyle w:val="VerbatimChar"/>
        </w:rPr>
        <w:t xml:space="preserve">seguridad@{{ cliente.nombre_corto | lower | replace(" ", "") }}.es</w:t>
      </w:r>
      <w:r>
        <w:t xml:space="preserve"> </w:t>
      </w:r>
      <w:r>
        <w:t xml:space="preserve">(gestionado en horario laboral por el Responsable de la Seguridad).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Teléfono de incidentes 24x7:</w:t>
      </w:r>
      <w:r>
        <w:t xml:space="preserve"> </w:t>
      </w:r>
      <w:r>
        <w:t xml:space="preserve">{{ responsables.responsable_seguridad.email }} (en horario no laboral, contactar mediante el directorio de emergencia del SGSI).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Comunicación directa al Responsable del Sistema</w:t>
      </w:r>
      <w:r>
        <w:t xml:space="preserve"> </w:t>
      </w:r>
      <w:r>
        <w:t xml:space="preserve">({{ responsables.responsable_sistema.nombre }}) o al Responsable de la Seguridad ({{ responsables.responsable_seguridad.nombre }}).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Formulario web interno</w:t>
      </w:r>
      <w:r>
        <w:t xml:space="preserve"> </w:t>
      </w:r>
      <w:r>
        <w:t xml:space="preserve">disponible en la intranet corporativa.</w:t>
      </w:r>
    </w:p>
    <w:p>
      <w:pPr>
        <w:pStyle w:val="FirstParagraph"/>
      </w:pPr>
      <w:r>
        <w:rPr>
          <w:bCs/>
          <w:b/>
        </w:rPr>
        <w:t xml:space="preserve">Toda notificación, sea cual sea el canal, debe incluir como mínimo:</w:t>
      </w:r>
    </w:p>
    <w:p>
      <w:pPr>
        <w:numPr>
          <w:ilvl w:val="0"/>
          <w:numId w:val="1002"/>
        </w:numPr>
        <w:pStyle w:val="Compact"/>
      </w:pPr>
      <w:r>
        <w:t xml:space="preserve">Nombre y datos de contacto de quien notifica.</w:t>
      </w:r>
    </w:p>
    <w:p>
      <w:pPr>
        <w:numPr>
          <w:ilvl w:val="0"/>
          <w:numId w:val="1002"/>
        </w:numPr>
        <w:pStyle w:val="Compact"/>
      </w:pPr>
      <w:r>
        <w:t xml:space="preserve">Fecha, hora y lugar de detección.</w:t>
      </w:r>
    </w:p>
    <w:p>
      <w:pPr>
        <w:numPr>
          <w:ilvl w:val="0"/>
          <w:numId w:val="1002"/>
        </w:numPr>
        <w:pStyle w:val="Compact"/>
      </w:pPr>
      <w:r>
        <w:t xml:space="preserve">Descripción breve de lo observado.</w:t>
      </w:r>
    </w:p>
    <w:p>
      <w:pPr>
        <w:numPr>
          <w:ilvl w:val="0"/>
          <w:numId w:val="1002"/>
        </w:numPr>
        <w:pStyle w:val="Compact"/>
      </w:pPr>
      <w:r>
        <w:t xml:space="preserve">Sistemas, servicios o información posiblemente afectados.</w:t>
      </w:r>
    </w:p>
    <w:p>
      <w:pPr>
        <w:numPr>
          <w:ilvl w:val="0"/>
          <w:numId w:val="1002"/>
        </w:numPr>
        <w:pStyle w:val="Compact"/>
      </w:pPr>
      <w:r>
        <w:t xml:space="preserve">Acciones ya emprendidas, si las hubiera.</w:t>
      </w:r>
    </w:p>
    <w:bookmarkEnd w:id="22"/>
    <w:bookmarkStart w:id="29" w:name="flujo-operativo"/>
    <w:p>
      <w:pPr>
        <w:pStyle w:val="Heading2"/>
      </w:pPr>
      <w:r>
        <w:t xml:space="preserve">4. FLUJO OPERATIVO</w:t>
      </w:r>
    </w:p>
    <w:bookmarkStart w:id="23" w:name="X42003f33f4ba05bf02b4d9efb66aa1ac73a590f"/>
    <w:p>
      <w:pPr>
        <w:pStyle w:val="Heading3"/>
      </w:pPr>
      <w:r>
        <w:t xml:space="preserve">Fase 1 — Recepción y registro inicial (T+0 a T+30 minutos)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Responsable de la Seguridad o persona de guardia designada.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03"/>
        </w:numPr>
      </w:pPr>
      <w:r>
        <w:t xml:space="preserve">Registrar el incidente en el</w:t>
      </w:r>
      <w:r>
        <w:t xml:space="preserve"> </w:t>
      </w:r>
      <w:r>
        <w:rPr>
          <w:bCs/>
          <w:b/>
        </w:rPr>
        <w:t xml:space="preserve">Sistema de Gestión de Incidentes</w:t>
      </w:r>
      <w:r>
        <w:t xml:space="preserve"> </w:t>
      </w:r>
      <w:r>
        <w:t xml:space="preserve">del SGSI, asignando un identificador único en formato</w:t>
      </w:r>
      <w:r>
        <w:t xml:space="preserve"> </w:t>
      </w:r>
      <w:r>
        <w:rPr>
          <w:rStyle w:val="VerbatimChar"/>
        </w:rPr>
        <w:t xml:space="preserve">INC-AAAA-NNNN</w:t>
      </w:r>
      <w:r>
        <w:t xml:space="preserve"> </w:t>
      </w:r>
      <w:r>
        <w:t xml:space="preserve">(donde AAAA es el año y NNNN un correlativo).</w:t>
      </w:r>
    </w:p>
    <w:p>
      <w:pPr>
        <w:numPr>
          <w:ilvl w:val="0"/>
          <w:numId w:val="1003"/>
        </w:numPr>
      </w:pPr>
      <w:r>
        <w:t xml:space="preserve">Cumplimentar el formulario inicial del Anexo I con la información disponible.</w:t>
      </w:r>
    </w:p>
    <w:p>
      <w:pPr>
        <w:numPr>
          <w:ilvl w:val="0"/>
          <w:numId w:val="1003"/>
        </w:numPr>
      </w:pPr>
      <w:r>
        <w:t xml:space="preserve">Realizar una</w:t>
      </w:r>
      <w:r>
        <w:t xml:space="preserve"> </w:t>
      </w:r>
      <w:r>
        <w:rPr>
          <w:bCs/>
          <w:b/>
        </w:rPr>
        <w:t xml:space="preserve">clasificación preliminar</w:t>
      </w:r>
      <w:r>
        <w:t xml:space="preserve"> </w:t>
      </w:r>
      <w:r>
        <w:t xml:space="preserve">del incidente conforme a la escala del apartado 4 de la Política {{ proyecto.codigo_documento_base }}-103 (niveles BAJO, MEDIO, ALTO, MUY ALTO o CRÍTICO).</w:t>
      </w:r>
    </w:p>
    <w:p>
      <w:pPr>
        <w:numPr>
          <w:ilvl w:val="0"/>
          <w:numId w:val="1003"/>
        </w:numPr>
      </w:pPr>
      <w:r>
        <w:t xml:space="preserve">Activar el Equipo de Respuesta a Incidentes (ERI) correspondiente al nivel: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BAJO /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 mínimo: Responsable Seguridad + Responsable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 ampliado: + Asesor legal + DPO si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MUY ALTO /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 completo + Comité de Crisis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Si la clasificación preliminar es</w:t>
      </w:r>
      <w:r>
        <w:t xml:space="preserve"> </w:t>
      </w:r>
      <w:r>
        <w:rPr>
          <w:bCs/>
          <w:b/>
        </w:rPr>
        <w:t xml:space="preserve">MUY ALTO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CRÍTICO</w:t>
      </w:r>
      <w:r>
        <w:t xml:space="preserve">, notificar inmediatamente a {{ responsables.comite_seguridad.presidente }}.</w:t>
      </w:r>
    </w:p>
    <w:bookmarkEnd w:id="23"/>
    <w:bookmarkStart w:id="24" w:name="Xe6c319eb118d895f4e6c3285ae0e93c10c3aa84"/>
    <w:p>
      <w:pPr>
        <w:pStyle w:val="Heading3"/>
      </w:pPr>
      <w:r>
        <w:t xml:space="preserve">Fase 2 — Triaje y análisis inicial (T+30 minutos a T+4 horas)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Coordinador del ERI (Responsable de la Seguridad).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05"/>
        </w:numPr>
      </w:pPr>
      <w:r>
        <w:t xml:space="preserve">Recopilar la información disponible sobre el incidente: logs, alertas del SIEM, informes técnicos, capturas de pantalla, mensajes recibidos.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Iniciar la cadena de custodia</w:t>
      </w:r>
      <w:r>
        <w:t xml:space="preserve"> </w:t>
      </w:r>
      <w:r>
        <w:t xml:space="preserve">de las evidencias conforme al procedimiento {{ proyecto.codigo_documento_base }}-228, registrando:</w:t>
      </w:r>
    </w:p>
    <w:p>
      <w:pPr>
        <w:numPr>
          <w:ilvl w:val="0"/>
          <w:numId w:val="1006"/>
        </w:numPr>
        <w:pStyle w:val="Compact"/>
      </w:pPr>
      <w:r>
        <w:t xml:space="preserve">Origen de cada evidencia.</w:t>
      </w:r>
    </w:p>
    <w:p>
      <w:pPr>
        <w:numPr>
          <w:ilvl w:val="0"/>
          <w:numId w:val="1006"/>
        </w:numPr>
        <w:pStyle w:val="Compact"/>
      </w:pPr>
      <w:r>
        <w:t xml:space="preserve">Persona que la recopila.</w:t>
      </w:r>
    </w:p>
    <w:p>
      <w:pPr>
        <w:numPr>
          <w:ilvl w:val="0"/>
          <w:numId w:val="1006"/>
        </w:numPr>
        <w:pStyle w:val="Compact"/>
      </w:pPr>
      <w:r>
        <w:t xml:space="preserve">Fecha y hora exactas.</w:t>
      </w:r>
    </w:p>
    <w:p>
      <w:pPr>
        <w:numPr>
          <w:ilvl w:val="0"/>
          <w:numId w:val="1006"/>
        </w:numPr>
        <w:pStyle w:val="Compact"/>
      </w:pPr>
      <w:r>
        <w:t xml:space="preserve">Hash SHA-256 si es información digital.</w:t>
      </w:r>
    </w:p>
    <w:p>
      <w:pPr>
        <w:numPr>
          <w:ilvl w:val="0"/>
          <w:numId w:val="1006"/>
        </w:numPr>
        <w:pStyle w:val="Compact"/>
      </w:pPr>
      <w:r>
        <w:t xml:space="preserve">Cadena de manipulaciones posteriores.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Determinar el alcance</w:t>
      </w:r>
      <w:r>
        <w:t xml:space="preserve"> </w:t>
      </w:r>
      <w:r>
        <w:t xml:space="preserve">del incidente: qué sistemas, servicios o información están afectados, número aproximado de personas o registros implicados.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Confirmar o reclasificar</w:t>
      </w:r>
      <w:r>
        <w:t xml:space="preserve"> </w:t>
      </w:r>
      <w:r>
        <w:t xml:space="preserve">el nivel del incidente.</w:t>
      </w:r>
    </w:p>
    <w:p>
      <w:pPr>
        <w:numPr>
          <w:ilvl w:val="0"/>
          <w:numId w:val="1007"/>
        </w:numPr>
      </w:pPr>
      <w:r>
        <w:t xml:space="preserve">Si afecta a</w:t>
      </w:r>
      <w:r>
        <w:t xml:space="preserve"> </w:t>
      </w:r>
      <w:r>
        <w:rPr>
          <w:bCs/>
          <w:b/>
        </w:rPr>
        <w:t xml:space="preserve">datos personales</w:t>
      </w:r>
      <w:r>
        <w:t xml:space="preserve">, valorar si constituye una</w:t>
      </w:r>
      <w:r>
        <w:t xml:space="preserve"> </w:t>
      </w:r>
      <w:r>
        <w:rPr>
          <w:bCs/>
          <w:b/>
        </w:rPr>
        <w:t xml:space="preserve">brecha de seguridad de datos personales</w:t>
      </w:r>
      <w:r>
        <w:t xml:space="preserve"> </w:t>
      </w:r>
      <w:r>
        <w:t xml:space="preserve">conforme a la guía AEPD y notificar al DPO ({{ responsables.delegado_proteccion_datos.nombre }}).</w:t>
      </w:r>
    </w:p>
    <w:p>
      <w:pPr>
        <w:numPr>
          <w:ilvl w:val="0"/>
          <w:numId w:val="1007"/>
        </w:numPr>
      </w:pPr>
      <w:r>
        <w:t xml:space="preserve">Decidir si procede activar el</w:t>
      </w:r>
      <w:r>
        <w:t xml:space="preserve"> </w:t>
      </w:r>
      <w:r>
        <w:rPr>
          <w:bCs/>
          <w:b/>
        </w:rPr>
        <w:t xml:space="preserve">Plan de Continuidad del Servicio</w:t>
      </w:r>
      <w:r>
        <w:t xml:space="preserve"> </w:t>
      </w:r>
      <w:r>
        <w:t xml:space="preserve">({{ proyecto.codigo_documento_base }}-104).</w:t>
      </w:r>
    </w:p>
    <w:bookmarkEnd w:id="24"/>
    <w:bookmarkStart w:id="25" w:name="fase-3-contención-t4-horas-a-t24-horas"/>
    <w:p>
      <w:pPr>
        <w:pStyle w:val="Heading3"/>
      </w:pPr>
      <w:r>
        <w:t xml:space="preserve">Fase 3 — Contención (T+4 horas a T+24 horas)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Responsable del Sistema, bajo dirección del Coordinador del ERI.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08"/>
        </w:numPr>
        <w:pStyle w:val="Compact"/>
      </w:pPr>
      <w:r>
        <w:t xml:space="preserve">Aplicar las medidas de contención necesarias para detener la propagación del incidente y limitar su impacto. Las medidas concretas dependen del tipo de incidente y se documentan en las</w:t>
      </w:r>
      <w:r>
        <w:t xml:space="preserve"> </w:t>
      </w:r>
      <w:r>
        <w:rPr>
          <w:bCs/>
          <w:b/>
        </w:rPr>
        <w:t xml:space="preserve">Instrucciones Técnicas IT-204-XX</w:t>
      </w:r>
      <w:r>
        <w:t xml:space="preserve"> </w:t>
      </w:r>
      <w:r>
        <w:t xml:space="preserve">asociadas a cada categoría: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incidente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 Técnica de contención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Compromiso de 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IT-204-01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Infección por malware / ransomware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IT-204-02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no autorizado a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IT-204-03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Filtración o exfiltración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IT-204-04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Denegación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IT-204-05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Compromiso de cuenta privilegiada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IT-204-06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Phishing dirigido (spear-phishing)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IT-204-07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Pérdida o sustracción de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IT-204-08</w:t>
            </w:r>
          </w:p>
        </w:tc>
      </w:tr>
    </w:tbl>
    <w:p>
      <w:pPr>
        <w:numPr>
          <w:ilvl w:val="0"/>
          <w:numId w:val="1009"/>
        </w:numPr>
      </w:pPr>
      <w:r>
        <w:t xml:space="preserve">Documentar todas las acciones realizadas, sus resultados y los responsables de su ejecución.</w:t>
      </w:r>
    </w:p>
    <w:p>
      <w:pPr>
        <w:numPr>
          <w:ilvl w:val="0"/>
          <w:numId w:val="1009"/>
        </w:numPr>
      </w:pPr>
      <w:r>
        <w:t xml:space="preserve">Mantener informado al Coordinador del ERI cada 2 horas durante la fase de contención de incidentes ALTO o superior.</w:t>
      </w:r>
    </w:p>
    <w:bookmarkEnd w:id="25"/>
    <w:bookmarkStart w:id="26" w:name="X791ab1f3dee414f362ae42259d92b3c008119da"/>
    <w:p>
      <w:pPr>
        <w:pStyle w:val="Heading3"/>
      </w:pPr>
      <w:r>
        <w:t xml:space="preserve">Fase 4 — Notificación externa (en paralelo a la contención)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Responsable de la Seguridad, en coordinación con DPO y asesor legal.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Notificación al CCN-CERT vía LUCIA</w:t>
      </w:r>
      <w:r>
        <w:t xml:space="preserve">, cuando proceda, en los plazos establecidos en el apartado 6.1 de la Política {{ proyecto.codigo_documento_base }}-103:</w:t>
      </w:r>
    </w:p>
    <w:p>
      <w:pPr>
        <w:numPr>
          <w:ilvl w:val="0"/>
          <w:numId w:val="1011"/>
        </w:numPr>
        <w:pStyle w:val="Compact"/>
      </w:pPr>
      <w:r>
        <w:t xml:space="preserve">CRÍTICO: en 1 hora</w:t>
      </w:r>
    </w:p>
    <w:p>
      <w:pPr>
        <w:numPr>
          <w:ilvl w:val="0"/>
          <w:numId w:val="1011"/>
        </w:numPr>
        <w:pStyle w:val="Compact"/>
      </w:pPr>
      <w:r>
        <w:t xml:space="preserve">MUY ALTO: en 6 horas</w:t>
      </w:r>
    </w:p>
    <w:p>
      <w:pPr>
        <w:numPr>
          <w:ilvl w:val="0"/>
          <w:numId w:val="1011"/>
        </w:numPr>
        <w:pStyle w:val="Compact"/>
      </w:pPr>
      <w:r>
        <w:t xml:space="preserve">ALTO: en 24 horas</w:t>
      </w:r>
    </w:p>
    <w:p>
      <w:pPr>
        <w:pStyle w:val="FirstParagraph"/>
      </w:pPr>
      <w:r>
        <w:t xml:space="preserve">La notificación se realiza accediendo a la herramienta LUCIA del CCN con el certificado digital corporativo y cumplimentando el formulario oficial. La interlocución posterior se gestiona también desde LUCIA.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Notificación de brecha de datos personales a la AEPD</w:t>
      </w:r>
      <w:r>
        <w:t xml:space="preserve">, si procede, en el plazo máximo de</w:t>
      </w:r>
      <w:r>
        <w:t xml:space="preserve"> </w:t>
      </w:r>
      <w:r>
        <w:rPr>
          <w:bCs/>
          <w:b/>
        </w:rPr>
        <w:t xml:space="preserve">72 horas</w:t>
      </w:r>
      <w:r>
        <w:t xml:space="preserve"> </w:t>
      </w:r>
      <w:r>
        <w:t xml:space="preserve">desde el conocimiento, mediante el formulario electrónico de la sede electrónica de la AEPD (https://sedeaepd.gob.es). La notificación incluirá:</w:t>
      </w:r>
    </w:p>
    <w:p>
      <w:pPr>
        <w:numPr>
          <w:ilvl w:val="0"/>
          <w:numId w:val="1013"/>
        </w:numPr>
        <w:pStyle w:val="Compact"/>
      </w:pPr>
      <w:r>
        <w:t xml:space="preserve">Naturaleza de la brecha y categorías de datos afectados.</w:t>
      </w:r>
    </w:p>
    <w:p>
      <w:pPr>
        <w:numPr>
          <w:ilvl w:val="0"/>
          <w:numId w:val="1013"/>
        </w:numPr>
        <w:pStyle w:val="Compact"/>
      </w:pPr>
      <w:r>
        <w:t xml:space="preserve">Número aproximado de personas afectadas y de registros.</w:t>
      </w:r>
    </w:p>
    <w:p>
      <w:pPr>
        <w:numPr>
          <w:ilvl w:val="0"/>
          <w:numId w:val="1013"/>
        </w:numPr>
        <w:pStyle w:val="Compact"/>
      </w:pPr>
      <w:r>
        <w:t xml:space="preserve">Datos de contacto del DPO.</w:t>
      </w:r>
    </w:p>
    <w:p>
      <w:pPr>
        <w:numPr>
          <w:ilvl w:val="0"/>
          <w:numId w:val="1013"/>
        </w:numPr>
        <w:pStyle w:val="Compact"/>
      </w:pPr>
      <w:r>
        <w:t xml:space="preserve">Posibles consecuencias.</w:t>
      </w:r>
    </w:p>
    <w:p>
      <w:pPr>
        <w:numPr>
          <w:ilvl w:val="0"/>
          <w:numId w:val="1013"/>
        </w:numPr>
        <w:pStyle w:val="Compact"/>
      </w:pPr>
      <w:r>
        <w:t xml:space="preserve">Medidas adoptadas o propuestas.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Comunicación a las personas afectadas</w:t>
      </w:r>
      <w:r>
        <w:t xml:space="preserve">, cuando la brecha entrañe riesgo alto para sus derechos y libertades, conforme al artículo 34 del RGPD.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Notificación a clientes y partes interesadas afectadas</w:t>
      </w:r>
      <w:r>
        <w:t xml:space="preserve"> </w:t>
      </w:r>
      <w:r>
        <w:t xml:space="preserve">según las obligaciones contractuales aplicables.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Comunicación al equipo directivo y, en su caso, a {{ cliente.organo_aprobador_politicas }}</w:t>
      </w:r>
      <w:r>
        <w:t xml:space="preserve"> </w:t>
      </w:r>
      <w:r>
        <w:t xml:space="preserve">en incidentes CRÍTICO o MUY ALTO.</w:t>
      </w:r>
    </w:p>
    <w:bookmarkEnd w:id="26"/>
    <w:bookmarkStart w:id="27" w:name="fase-5-erradicación-y-recuperación"/>
    <w:p>
      <w:pPr>
        <w:pStyle w:val="Heading3"/>
      </w:pPr>
      <w:r>
        <w:t xml:space="preserve">Fase 5 — Erradicación y recuperación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Responsable del Sistema, bajo dirección del Coordinador del ERI.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Eliminar la causa raíz</w:t>
      </w:r>
      <w:r>
        <w:t xml:space="preserve"> </w:t>
      </w:r>
      <w:r>
        <w:t xml:space="preserve">del incidente: limpieza de sistemas comprometidos, aplicación de parches, eliminación de cuentas no autorizadas, reconfiguración de controles.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Restaurar los servicios afectados</w:t>
      </w:r>
      <w:r>
        <w:t xml:space="preserve"> </w:t>
      </w:r>
      <w:r>
        <w:t xml:space="preserve">desde copias de seguridad verificadas, en el orden de prioridad determinado por el BIA del Plan de Continuidad.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Verificar la integridad</w:t>
      </w:r>
      <w:r>
        <w:t xml:space="preserve"> </w:t>
      </w:r>
      <w:r>
        <w:t xml:space="preserve">de los sistemas restaurados antes de devolverlos a producción.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Monitorizar activamente</w:t>
      </w:r>
      <w:r>
        <w:t xml:space="preserve"> </w:t>
      </w:r>
      <w:r>
        <w:t xml:space="preserve">los sistemas afectados durante un periodo mínimo de 72 horas tras la recuperación, para detectar posibles reapariciones.</w:t>
      </w:r>
    </w:p>
    <w:bookmarkEnd w:id="27"/>
    <w:bookmarkStart w:id="28" w:name="X2d1f60a30db3bf96435a19ca93bb6392b548951"/>
    <w:p>
      <w:pPr>
        <w:pStyle w:val="Heading3"/>
      </w:pPr>
      <w:r>
        <w:t xml:space="preserve">Fase 6 — Cierre y aprendizaje (T+15 días desde el cierre técnico)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Responsable de la Seguridad.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16"/>
        </w:numPr>
        <w:pStyle w:val="Compact"/>
      </w:pPr>
      <w:r>
        <w:t xml:space="preserve">Elaborar el</w:t>
      </w:r>
      <w:r>
        <w:t xml:space="preserve"> </w:t>
      </w:r>
      <w:r>
        <w:rPr>
          <w:bCs/>
          <w:b/>
        </w:rPr>
        <w:t xml:space="preserve">Informe Post-Incidente</w:t>
      </w:r>
      <w:r>
        <w:t xml:space="preserve"> </w:t>
      </w:r>
      <w:r>
        <w:t xml:space="preserve">conforme a la plantilla del Anexo II, que incluirá:</w:t>
      </w:r>
    </w:p>
    <w:p>
      <w:pPr>
        <w:numPr>
          <w:ilvl w:val="0"/>
          <w:numId w:val="1017"/>
        </w:numPr>
        <w:pStyle w:val="Compact"/>
      </w:pPr>
      <w:r>
        <w:t xml:space="preserve">Resumen ejecutivo.</w:t>
      </w:r>
    </w:p>
    <w:p>
      <w:pPr>
        <w:numPr>
          <w:ilvl w:val="0"/>
          <w:numId w:val="1017"/>
        </w:numPr>
        <w:pStyle w:val="Compact"/>
      </w:pPr>
      <w:r>
        <w:t xml:space="preserve">Cronología detallada del incidente con marcas de tiempo.</w:t>
      </w:r>
    </w:p>
    <w:p>
      <w:pPr>
        <w:numPr>
          <w:ilvl w:val="0"/>
          <w:numId w:val="1017"/>
        </w:numPr>
        <w:pStyle w:val="Compact"/>
      </w:pPr>
      <w:r>
        <w:t xml:space="preserve">Causa raíz identificada.</w:t>
      </w:r>
    </w:p>
    <w:p>
      <w:pPr>
        <w:numPr>
          <w:ilvl w:val="0"/>
          <w:numId w:val="1017"/>
        </w:numPr>
        <w:pStyle w:val="Compact"/>
      </w:pPr>
      <w:r>
        <w:t xml:space="preserve">Vector de ataque (cuando proceda) mapeado al MITRE ATT&amp;CK.</w:t>
      </w:r>
    </w:p>
    <w:p>
      <w:pPr>
        <w:numPr>
          <w:ilvl w:val="0"/>
          <w:numId w:val="1017"/>
        </w:numPr>
        <w:pStyle w:val="Compact"/>
      </w:pPr>
      <w:r>
        <w:t xml:space="preserve">Impacto real producido.</w:t>
      </w:r>
    </w:p>
    <w:p>
      <w:pPr>
        <w:numPr>
          <w:ilvl w:val="0"/>
          <w:numId w:val="1017"/>
        </w:numPr>
        <w:pStyle w:val="Compact"/>
      </w:pPr>
      <w:r>
        <w:t xml:space="preserve">Acciones de contención, erradicación y recuperación realizadas y su eficacia.</w:t>
      </w:r>
    </w:p>
    <w:p>
      <w:pPr>
        <w:numPr>
          <w:ilvl w:val="0"/>
          <w:numId w:val="1017"/>
        </w:numPr>
        <w:pStyle w:val="Compact"/>
      </w:pPr>
      <w:r>
        <w:t xml:space="preserve">Notificaciones externas realizadas.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Lecciones aprendidas y recomendaciones de mejora.</w:t>
      </w:r>
    </w:p>
    <w:p>
      <w:pPr>
        <w:numPr>
          <w:ilvl w:val="0"/>
          <w:numId w:val="1017"/>
        </w:numPr>
        <w:pStyle w:val="Compact"/>
      </w:pPr>
      <w:r>
        <w:t xml:space="preserve">Acciones correctivas a implantar, con responsables y plazos.</w:t>
      </w:r>
    </w:p>
    <w:p>
      <w:pPr>
        <w:numPr>
          <w:ilvl w:val="0"/>
          <w:numId w:val="1018"/>
        </w:numPr>
      </w:pPr>
      <w:r>
        <w:t xml:space="preserve">Presentar el Informe Post-Incidente al</w:t>
      </w:r>
      <w:r>
        <w:t xml:space="preserve"> </w:t>
      </w:r>
      <w:r>
        <w:rPr>
          <w:bCs/>
          <w:b/>
        </w:rPr>
        <w:t xml:space="preserve">Comité de Seguridad</w:t>
      </w:r>
      <w:r>
        <w:t xml:space="preserve"> </w:t>
      </w:r>
      <w:r>
        <w:t xml:space="preserve">en su siguiente reunión ordinaria.</w:t>
      </w:r>
    </w:p>
    <w:p>
      <w:pPr>
        <w:numPr>
          <w:ilvl w:val="0"/>
          <w:numId w:val="1018"/>
        </w:numPr>
      </w:pPr>
      <w:r>
        <w:t xml:space="preserve">Para incidentes CRÍTICO o MUY ALTO, presentar resumen al órgano superior {{ cliente.organo_aprobador_politicas }}.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Cerrar formalmente el incidente</w:t>
      </w:r>
      <w:r>
        <w:t xml:space="preserve"> </w:t>
      </w:r>
      <w:r>
        <w:t xml:space="preserve">en el Sistema de Gestión de Incidentes, manteniendo accesible toda la documentación durante el periodo de conservación establecido en el procedimiento {{ proyecto.codigo_documento_base }}-203.</w:t>
      </w:r>
    </w:p>
    <w:bookmarkEnd w:id="28"/>
    <w:bookmarkEnd w:id="29"/>
    <w:bookmarkStart w:id="30" w:name="equipo-de-respuesta-a-incidentes-eri"/>
    <w:p>
      <w:pPr>
        <w:pStyle w:val="Heading2"/>
      </w:pPr>
      <w:r>
        <w:t xml:space="preserve">5. EQUIPO DE RESPUESTA A INCIDENTES (ERI)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designada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del 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responsables.responsable_seguridad.nombre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general, decisiones, interlocución autoridades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responsables.responsable_sistema.nombre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técnico, contención, erradicación, recuperación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Asesor 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designar contractualmente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Valoración jurídica, obligaciones de notificación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responsables.delegado_proteccion_datos.nombre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Asesoramiento sobre brechas de datos personales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designar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interna, externa y reputacional</w:t>
            </w:r>
          </w:p>
        </w:tc>
      </w:tr>
    </w:tbl>
    <w:p>
      <w:pPr>
        <w:pStyle w:val="BodyText"/>
      </w:pPr>
      <w:r>
        <w:t xml:space="preserve">Para incidentes CRÍTICOS, el ERI activa el</w:t>
      </w:r>
      <w:r>
        <w:t xml:space="preserve"> </w:t>
      </w:r>
      <w:r>
        <w:rPr>
          <w:bCs/>
          <w:b/>
        </w:rPr>
        <w:t xml:space="preserve">Comité de Crisis</w:t>
      </w:r>
      <w:r>
        <w:t xml:space="preserve"> </w:t>
      </w:r>
      <w:r>
        <w:t xml:space="preserve">presidido por {{ responsables.comite_seguridad.presidente }}.</w:t>
      </w:r>
    </w:p>
    <w:bookmarkEnd w:id="30"/>
    <w:bookmarkStart w:id="31" w:name="registros-generados"/>
    <w:p>
      <w:pPr>
        <w:pStyle w:val="Heading2"/>
      </w:pPr>
      <w:r>
        <w:t xml:space="preserve">6. REGISTROS GENERADOS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Formulario inicial de notificación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Cadena de custodia de evidencias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años o plazo de prescripción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 y evidencias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 a autoridades (LUCIA, AEPD)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 Post-Incidente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años</w:t>
            </w:r>
          </w:p>
        </w:tc>
      </w:tr>
    </w:tbl>
    <w:bookmarkEnd w:id="31"/>
    <w:bookmarkStart w:id="32" w:name="indicadores-de-control"/>
    <w:p>
      <w:pPr>
        <w:pStyle w:val="Heading2"/>
      </w:pPr>
      <w:r>
        <w:t xml:space="preserve">7. INDICADORES DE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medio de detección (MTTD)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de horas desde origen hasta detección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medio de respuesta (MTTR)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de horas desde detección hasta contención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4h para ALTO+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plazos notificación LUCIA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(notificaciones en plazo / total)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plazo 72h brecha AEPD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(notificaciones en plazo / total)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Recurrencia de incidentes mismo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incidentes con misma causa raíz en 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</w:t>
            </w:r>
          </w:p>
        </w:tc>
      </w:tr>
    </w:tbl>
    <w:bookmarkEnd w:id="32"/>
    <w:bookmarkStart w:id="33" w:name="anexos"/>
    <w:p>
      <w:pPr>
        <w:pStyle w:val="Heading2"/>
      </w:pPr>
      <w:r>
        <w:t xml:space="preserve">8. ANEXOS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Formulario inicial de notificación de incidente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Plantilla del Informe Post-Incidente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Directorio de emergencia 24x7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Mapeo de tipologías de incidente con tácticas y técnicas MITRE ATT&amp;CK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Anexo V:</w:t>
      </w:r>
      <w:r>
        <w:t xml:space="preserve"> </w:t>
      </w:r>
      <w:r>
        <w:t xml:space="preserve">Plantilla de comunicación a personas afectadas (RGPD art. 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}}-204 — Versión {{ proyecto.version_actual }} — Clasificación: INTERNA</w:t>
      </w:r>
    </w:p>
    <w:bookmarkEnd w:id="33"/>
    <w:bookmarkEnd w:id="34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E-204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E-204 · Documento E-204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1">
    <w:abstractNumId w:val="991"/>
  </w:num>
  <w:num w:numId="101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3">
    <w:abstractNumId w:val="991"/>
  </w:num>
  <w:num w:numId="101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6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7">
    <w:abstractNumId w:val="991"/>
  </w:num>
  <w:num w:numId="1018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}}-204</vt:lpwstr>
  </property>
  <property fmtid="{D5CDD505-2E9C-101B-9397-08002B2CF9AE}" pid="4" name="fecha_aprobacion">
    <vt:lpwstr>{{ proyecto.fecha_aprobacion_inicial }}</vt:lpwstr>
  </property>
  <property fmtid="{D5CDD505-2E9C-101B-9397-08002B2CF9AE}" pid="5" name="fecha_proxima_revision">
    <vt:lpwstr>{{ proyecto.proxima_revision }}</vt:lpwstr>
  </property>
  <property fmtid="{D5CDD505-2E9C-101B-9397-08002B2CF9AE}" pid="6" name="politica_madre">
    <vt:lpwstr>{{ proyecto.codigo_documento_base }}-103</vt:lpwstr>
  </property>
  <property fmtid="{D5CDD505-2E9C-101B-9397-08002B2CF9AE}" pid="7" name="propietario">
    <vt:lpwstr>{{ responsables.responsable_seguridad.cargo }}</vt:lpwstr>
  </property>
  <property fmtid="{D5CDD505-2E9C-101B-9397-08002B2CF9AE}" pid="8" name="titulo">
    <vt:lpwstr>Procedimiento de Gestión de Incidentes de Seguridad</vt:lpwstr>
  </property>
  <property fmtid="{D5CDD505-2E9C-101B-9397-08002B2CF9AE}" pid="9" name="version">
    <vt:lpwstr>{{ proyecto.version_actual }}</vt:lpwstr>
  </property>
</Properties>
</file>