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0f4d598a94f6b37e8dccf36ac672e432d3f68b2"/>
    <w:p>
      <w:pPr>
        <w:pStyle w:val="Heading1"/>
      </w:pPr>
      <w:r>
        <w:t xml:space="preserve">PROCEDIMIENTO DE GESTIÓN DE VULNERABILIDADES Y PARCHES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}}-218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método mediante el cual {{ cliente.razon_social }} identifica, valora, prioriza y mitiga las vulnerabilidades técnicas que afectan a sus sistemas de información, así como gestiona la aplicación de los parches de seguridad publicados por los fabricantes y comunidades de software, en cumplimiento de la medida</w:t>
      </w:r>
      <w:r>
        <w:t xml:space="preserve"> </w:t>
      </w:r>
      <w:r>
        <w:rPr>
          <w:bCs/>
          <w:b/>
        </w:rPr>
        <w:t xml:space="preserve">op.exp.4 (Mantenimiento)</w:t>
      </w:r>
      <w:r>
        <w:t xml:space="preserve"> </w:t>
      </w:r>
      <w:r>
        <w:t xml:space="preserve">del Anexo II del Real Decreto 311/2022.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todos los sistemas, servicios, aplicaciones, dispositivos de red, sistemas operativos, bases de datos, librerías y componentes de software comprendidos en el alcance del SGSI, ya sean operados directamente por la Entidad o por terceros bajo su responsabilidad.</w:t>
      </w:r>
    </w:p>
    <w:bookmarkEnd w:id="21"/>
    <w:bookmarkStart w:id="22" w:name="Xbe58d875943d7e24ad1ecf17418d64124166221"/>
    <w:p>
      <w:pPr>
        <w:pStyle w:val="Heading2"/>
      </w:pPr>
      <w:r>
        <w:t xml:space="preserve">3. FUENTES DE INFORMACIÓN DE VULNERABILIDADES</w:t>
      </w:r>
    </w:p>
    <w:p>
      <w:pPr>
        <w:pStyle w:val="FirstParagraph"/>
      </w:pPr>
      <w:r>
        <w:t xml:space="preserve">El Responsable de la Seguridad mantendrá monitorizadas, al menos, las siguientes fuentes de información sobre vulnerabilidades: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CCN-CERT</w:t>
      </w:r>
      <w:r>
        <w:t xml:space="preserve"> </w:t>
      </w:r>
      <w:r>
        <w:t xml:space="preserve">(avisos y vulnerabilidades): https://www.ccn-cert.cni.es/seguridad-al-dia.html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INCIBE-CERT</w:t>
      </w:r>
      <w:r>
        <w:t xml:space="preserve">: https://www.incibe.es/incibe-cert/avisos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NVD (National Vulnerability Database)</w:t>
      </w:r>
      <w:r>
        <w:t xml:space="preserve"> </w:t>
      </w:r>
      <w:r>
        <w:t xml:space="preserve">del NIST: https://nvd.nist.gov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CISA Known Exploited Vulnerabilities Catalog</w:t>
      </w:r>
      <w:r>
        <w:t xml:space="preserve">: https://www.cisa.gov/known-exploited-vulnerabilities-catalog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Boletines de seguridad de los fabricantes</w:t>
      </w:r>
      <w:r>
        <w:t xml:space="preserve"> </w:t>
      </w:r>
      <w:r>
        <w:t xml:space="preserve">del software utilizado.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Listas de seguridad</w:t>
      </w:r>
      <w:r>
        <w:t xml:space="preserve"> </w:t>
      </w:r>
      <w:r>
        <w:t xml:space="preserve">de las comunidades open source relevantes.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Informes propios</w:t>
      </w:r>
      <w:r>
        <w:t xml:space="preserve"> </w:t>
      </w:r>
      <w:r>
        <w:t xml:space="preserve">del escáner de vulnerabilidades corporativo.</w:t>
      </w:r>
    </w:p>
    <w:bookmarkEnd w:id="22"/>
    <w:bookmarkStart w:id="26" w:name="escaneo-de-vulnerabilidades"/>
    <w:p>
      <w:pPr>
        <w:pStyle w:val="Heading2"/>
      </w:pPr>
      <w:r>
        <w:t xml:space="preserve">4. ESCANEO DE VULNERABILIDADES</w:t>
      </w:r>
    </w:p>
    <w:bookmarkStart w:id="23" w:name="escaneo-periódico"/>
    <w:p>
      <w:pPr>
        <w:pStyle w:val="Heading3"/>
      </w:pPr>
      <w:r>
        <w:t xml:space="preserve">4.1 Escaneo periódico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Periodicidad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 expuestos a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Escáner externo (OpenVAS, Nessus)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 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Escáner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Aplicaciones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fuente propio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SAST + 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Contenedores e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 o equivalente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CSPM</w:t>
            </w:r>
          </w:p>
        </w:tc>
      </w:tr>
    </w:tbl>
    <w:bookmarkEnd w:id="23"/>
    <w:bookmarkStart w:id="24" w:name="escaneo-extraordinario"/>
    <w:p>
      <w:pPr>
        <w:pStyle w:val="Heading3"/>
      </w:pPr>
      <w:r>
        <w:t xml:space="preserve">4.2 Escaneo extraordinario</w:t>
      </w:r>
    </w:p>
    <w:p>
      <w:pPr>
        <w:pStyle w:val="FirstParagraph"/>
      </w:pPr>
      <w:r>
        <w:t xml:space="preserve">Se realizarán escaneos extraordinarios cuando:</w:t>
      </w:r>
    </w:p>
    <w:p>
      <w:pPr>
        <w:numPr>
          <w:ilvl w:val="0"/>
          <w:numId w:val="1002"/>
        </w:numPr>
      </w:pPr>
      <w:r>
        <w:t xml:space="preserve">Se publique una vulnerabilidad crítica que afecte al inventario tecnológico de la Entidad.</w:t>
      </w:r>
    </w:p>
    <w:p>
      <w:pPr>
        <w:numPr>
          <w:ilvl w:val="0"/>
          <w:numId w:val="1002"/>
        </w:numPr>
      </w:pPr>
      <w:r>
        <w:t xml:space="preserve">Se incorpore al inventario un nuevo activo significativo.</w:t>
      </w:r>
    </w:p>
    <w:p>
      <w:pPr>
        <w:numPr>
          <w:ilvl w:val="0"/>
          <w:numId w:val="1002"/>
        </w:numPr>
      </w:pPr>
      <w:r>
        <w:t xml:space="preserve">Se produzca un cambio de configuración importante.</w:t>
      </w:r>
    </w:p>
    <w:p>
      <w:pPr>
        <w:numPr>
          <w:ilvl w:val="0"/>
          <w:numId w:val="1002"/>
        </w:numPr>
      </w:pPr>
      <w:r>
        <w:t xml:space="preserve">Se reciba una alerta del CCN-CERT o de cualquier otra fuente cualificada.</w:t>
      </w:r>
    </w:p>
    <w:bookmarkEnd w:id="24"/>
    <w:bookmarkStart w:id="25" w:name="pentesting"/>
    <w:p>
      <w:pPr>
        <w:pStyle w:val="Heading3"/>
      </w:pPr>
      <w:r>
        <w:t xml:space="preserve">4.3 Pentesting</w:t>
      </w:r>
    </w:p>
    <w:p>
      <w:pPr>
        <w:pStyle w:val="FirstParagraph"/>
      </w:pPr>
      <w:r>
        <w:t xml:space="preserve">Con periodicidad</w:t>
      </w:r>
      <w:r>
        <w:t xml:space="preserve"> </w:t>
      </w:r>
      <w:r>
        <w:rPr>
          <w:bCs/>
          <w:b/>
        </w:rPr>
        <w:t xml:space="preserve">anual</w:t>
      </w:r>
      <w:r>
        <w:t xml:space="preserve"> </w:t>
      </w:r>
      <w:r>
        <w:t xml:space="preserve">se realizará un test de intrusión externo por una entidad independiente, conforme a las exigencias de las medidas mp.s.4 (Aceptación y puesta en servicio) y op.exp.4 del ENS para sistemas de categoría MEDIA o superior.</w:t>
      </w:r>
    </w:p>
    <w:bookmarkEnd w:id="25"/>
    <w:bookmarkEnd w:id="26"/>
    <w:bookmarkStart w:id="30" w:name="X4dd26c5df7e4f55646549269760024b60b685f3"/>
    <w:p>
      <w:pPr>
        <w:pStyle w:val="Heading2"/>
      </w:pPr>
      <w:r>
        <w:t xml:space="preserve">5. CLASIFICACIÓN Y PRIORIZACIÓN DE VULNERABILIDADES</w:t>
      </w:r>
    </w:p>
    <w:bookmarkStart w:id="27" w:name="escala-de-criticidad"/>
    <w:p>
      <w:pPr>
        <w:pStyle w:val="Heading3"/>
      </w:pPr>
      <w:r>
        <w:t xml:space="preserve">5.1 Escala de criticidad</w:t>
      </w:r>
    </w:p>
    <w:p>
      <w:pPr>
        <w:pStyle w:val="FirstParagraph"/>
      </w:pPr>
      <w:r>
        <w:t xml:space="preserve">Las vulnerabilidades se clasifican atendiendo a su puntuación CVSS (Common Vulnerability Scoring System), conforme a la siguiente escala: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 v3.x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9.0 - 10.0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Vulnerabilidad explotable remotamente sin autenticación, con alto 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7.0 - 8.9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Vulnerabilidad explotable con condiciones limitadas o impacto significativo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4.0 - 6.9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Vulnerabilidad con condiciones de explotación complejas o impacto moderado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0.1 - 3.9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Vulnerabilidad con impacto menor o muy difícil de explotar</w:t>
            </w:r>
          </w:p>
        </w:tc>
      </w:tr>
    </w:tbl>
    <w:bookmarkEnd w:id="27"/>
    <w:bookmarkStart w:id="28" w:name="factores-agravantes"/>
    <w:p>
      <w:pPr>
        <w:pStyle w:val="Heading3"/>
      </w:pPr>
      <w:r>
        <w:t xml:space="preserve">5.2 Factores agravantes</w:t>
      </w:r>
    </w:p>
    <w:p>
      <w:pPr>
        <w:pStyle w:val="FirstParagraph"/>
      </w:pPr>
      <w:r>
        <w:t xml:space="preserve">La criticidad inicial se</w:t>
      </w:r>
      <w:r>
        <w:t xml:space="preserve"> </w:t>
      </w:r>
      <w:r>
        <w:rPr>
          <w:bCs/>
          <w:b/>
        </w:rPr>
        <w:t xml:space="preserve">eleva</w:t>
      </w:r>
      <w:r>
        <w:t xml:space="preserve"> </w:t>
      </w:r>
      <w:r>
        <w:t xml:space="preserve">automáticamente cuando concurre alguna de las siguientes circunstancias:</w:t>
      </w:r>
    </w:p>
    <w:p>
      <w:pPr>
        <w:numPr>
          <w:ilvl w:val="0"/>
          <w:numId w:val="1003"/>
        </w:numPr>
      </w:pPr>
      <w:r>
        <w:t xml:space="preserve">La vulnerabilidad está incluida en el catálogo CISA KEV (Known Exploited Vulnerabilities), indicando explotación activa en el mundo real.</w:t>
      </w:r>
    </w:p>
    <w:p>
      <w:pPr>
        <w:numPr>
          <w:ilvl w:val="0"/>
          <w:numId w:val="1003"/>
        </w:numPr>
      </w:pPr>
      <w:r>
        <w:t xml:space="preserve">Existe</w:t>
      </w:r>
      <w:r>
        <w:t xml:space="preserve"> </w:t>
      </w:r>
      <w:r>
        <w:rPr>
          <w:bCs/>
          <w:b/>
        </w:rPr>
        <w:t xml:space="preserve">exploit público</w:t>
      </w:r>
      <w:r>
        <w:t xml:space="preserve"> </w:t>
      </w:r>
      <w:r>
        <w:t xml:space="preserve">disponible.</w:t>
      </w:r>
    </w:p>
    <w:p>
      <w:pPr>
        <w:numPr>
          <w:ilvl w:val="0"/>
          <w:numId w:val="1003"/>
        </w:numPr>
      </w:pPr>
      <w:r>
        <w:t xml:space="preserve">El activo afectado tiene clasificación</w:t>
      </w:r>
      <w:r>
        <w:t xml:space="preserve"> </w:t>
      </w:r>
      <w:r>
        <w:rPr>
          <w:bCs/>
          <w:b/>
        </w:rPr>
        <w:t xml:space="preserve">ALTA</w:t>
      </w:r>
      <w:r>
        <w:t xml:space="preserve"> </w:t>
      </w:r>
      <w:r>
        <w:t xml:space="preserve">en cualquier dimensión del ENS.</w:t>
      </w:r>
    </w:p>
    <w:p>
      <w:pPr>
        <w:numPr>
          <w:ilvl w:val="0"/>
          <w:numId w:val="1003"/>
        </w:numPr>
      </w:pPr>
      <w:r>
        <w:t xml:space="preserve">El activo está expuesto a Internet o accesible desde redes no controladas.</w:t>
      </w:r>
    </w:p>
    <w:p>
      <w:pPr>
        <w:numPr>
          <w:ilvl w:val="0"/>
          <w:numId w:val="1003"/>
        </w:numPr>
      </w:pPr>
      <w:r>
        <w:t xml:space="preserve">El activo soporta servicios esenciales conforme al BIA del Plan de Continuidad.</w:t>
      </w:r>
    </w:p>
    <w:bookmarkEnd w:id="28"/>
    <w:bookmarkStart w:id="29" w:name="factores-atenuantes"/>
    <w:p>
      <w:pPr>
        <w:pStyle w:val="Heading3"/>
      </w:pPr>
      <w:r>
        <w:t xml:space="preserve">5.3 Factores atenuantes</w:t>
      </w:r>
    </w:p>
    <w:p>
      <w:pPr>
        <w:pStyle w:val="FirstParagraph"/>
      </w:pPr>
      <w:r>
        <w:t xml:space="preserve">La criticidad inicial puede</w:t>
      </w:r>
      <w:r>
        <w:t xml:space="preserve"> </w:t>
      </w:r>
      <w:r>
        <w:rPr>
          <w:bCs/>
          <w:b/>
        </w:rPr>
        <w:t xml:space="preserve">reducirse</w:t>
      </w:r>
      <w:r>
        <w:t xml:space="preserve"> </w:t>
      </w:r>
      <w:r>
        <w:t xml:space="preserve">cuando:</w:t>
      </w:r>
    </w:p>
    <w:p>
      <w:pPr>
        <w:numPr>
          <w:ilvl w:val="0"/>
          <w:numId w:val="1004"/>
        </w:numPr>
      </w:pPr>
      <w:r>
        <w:t xml:space="preserve">El activo afectado está protegido por capas de defensa adicionales que dificultan la explotación.</w:t>
      </w:r>
    </w:p>
    <w:p>
      <w:pPr>
        <w:numPr>
          <w:ilvl w:val="0"/>
          <w:numId w:val="1004"/>
        </w:numPr>
      </w:pPr>
      <w:r>
        <w:t xml:space="preserve">La vulnerabilidad requiere acceso físico al activo, no factible para atacantes externos.</w:t>
      </w:r>
    </w:p>
    <w:p>
      <w:pPr>
        <w:numPr>
          <w:ilvl w:val="0"/>
          <w:numId w:val="1004"/>
        </w:numPr>
      </w:pPr>
      <w:r>
        <w:t xml:space="preserve">Existen mitigaciones temporales eficaces ya aplicadas (workarounds documentados por el fabricante).</w:t>
      </w:r>
    </w:p>
    <w:bookmarkEnd w:id="29"/>
    <w:bookmarkEnd w:id="30"/>
    <w:bookmarkStart w:id="31" w:name="plazos-de-aplicación-de-parches"/>
    <w:p>
      <w:pPr>
        <w:pStyle w:val="Heading2"/>
      </w:pPr>
      <w:r>
        <w:t xml:space="preserve">6. PLAZOS DE APLICACIÓN DE PARCHES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Criticidad efectiva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 de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 con explotación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días naturales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 naturales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días naturales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días naturales o siguiente ciclo de mantenimiento</w:t>
            </w:r>
          </w:p>
        </w:tc>
      </w:tr>
    </w:tbl>
    <w:p>
      <w:pPr>
        <w:pStyle w:val="BodyText"/>
      </w:pPr>
      <w:r>
        <w:t xml:space="preserve">Estos plazos son</w:t>
      </w:r>
      <w:r>
        <w:t xml:space="preserve"> </w:t>
      </w:r>
      <w:r>
        <w:rPr>
          <w:bCs/>
          <w:b/>
        </w:rPr>
        <w:t xml:space="preserve">máximos</w:t>
      </w:r>
      <w:r>
        <w:t xml:space="preserve"> </w:t>
      </w:r>
      <w:r>
        <w:t xml:space="preserve">y se cuentan desde la publicación oficial del parche por el fabricante o desde la disponibilidad de una mitigación.</w:t>
      </w:r>
    </w:p>
    <w:bookmarkEnd w:id="31"/>
    <w:bookmarkStart w:id="38" w:name="ciclo-de-gestión-del-parche"/>
    <w:p>
      <w:pPr>
        <w:pStyle w:val="Heading2"/>
      </w:pPr>
      <w:r>
        <w:t xml:space="preserve">7. CICLO DE GESTIÓN DEL PARCHE</w:t>
      </w:r>
    </w:p>
    <w:bookmarkStart w:id="32" w:name="identificación"/>
    <w:p>
      <w:pPr>
        <w:pStyle w:val="Heading3"/>
      </w:pPr>
      <w:r>
        <w:t xml:space="preserve">7.1 Identificación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 la Seguridad.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05"/>
        </w:numPr>
      </w:pPr>
      <w:r>
        <w:t xml:space="preserve">Revisión diaria de las fuentes de información de vulnerabilidades.</w:t>
      </w:r>
    </w:p>
    <w:p>
      <w:pPr>
        <w:numPr>
          <w:ilvl w:val="0"/>
          <w:numId w:val="1005"/>
        </w:numPr>
      </w:pPr>
      <w:r>
        <w:t xml:space="preserve">Cruce con el Inventario de Activos para identificar las vulnerabilidades que afectan al entorno propio.</w:t>
      </w:r>
    </w:p>
    <w:p>
      <w:pPr>
        <w:numPr>
          <w:ilvl w:val="0"/>
          <w:numId w:val="1005"/>
        </w:numPr>
      </w:pPr>
      <w:r>
        <w:t xml:space="preserve">Registro en el</w:t>
      </w:r>
      <w:r>
        <w:t xml:space="preserve"> </w:t>
      </w:r>
      <w:r>
        <w:rPr>
          <w:bCs/>
          <w:b/>
        </w:rPr>
        <w:t xml:space="preserve">Sistema de Gestión de Vulnerabilidades</w:t>
      </w:r>
      <w:r>
        <w:t xml:space="preserve"> </w:t>
      </w:r>
      <w:r>
        <w:t xml:space="preserve">del SGSI.</w:t>
      </w:r>
    </w:p>
    <w:bookmarkEnd w:id="32"/>
    <w:bookmarkStart w:id="33" w:name="análisis-y-priorización"/>
    <w:p>
      <w:pPr>
        <w:pStyle w:val="Heading3"/>
      </w:pPr>
      <w:r>
        <w:t xml:space="preserve">7.2 Análisis y priorización</w:t>
      </w:r>
    </w:p>
    <w:p>
      <w:pPr>
        <w:pStyle w:val="FirstParagraph"/>
      </w:pPr>
      <w:r>
        <w:rPr>
          <w:bCs/>
          <w:b/>
        </w:rPr>
        <w:t xml:space="preserve">Acciones:</w:t>
      </w:r>
    </w:p>
    <w:p>
      <w:pPr>
        <w:numPr>
          <w:ilvl w:val="0"/>
          <w:numId w:val="1006"/>
        </w:numPr>
      </w:pPr>
      <w:r>
        <w:t xml:space="preserve">Cálculo de la criticidad efectiva conforme al apartado 5.</w:t>
      </w:r>
    </w:p>
    <w:p>
      <w:pPr>
        <w:numPr>
          <w:ilvl w:val="0"/>
          <w:numId w:val="1006"/>
        </w:numPr>
      </w:pPr>
      <w:r>
        <w:t xml:space="preserve">Determinación del plazo máximo de aplicación conforme al apartado 6.</w:t>
      </w:r>
    </w:p>
    <w:p>
      <w:pPr>
        <w:numPr>
          <w:ilvl w:val="0"/>
          <w:numId w:val="1006"/>
        </w:numPr>
      </w:pPr>
      <w:r>
        <w:t xml:space="preserve">Asignación al Responsable del Sistema con instrucciones específicas.</w:t>
      </w:r>
    </w:p>
    <w:bookmarkEnd w:id="33"/>
    <w:bookmarkStart w:id="34" w:name="pruebas"/>
    <w:p>
      <w:pPr>
        <w:pStyle w:val="Heading3"/>
      </w:pPr>
      <w:r>
        <w:t xml:space="preserve">7.3 Pruebas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del Sistema.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07"/>
        </w:numPr>
        <w:pStyle w:val="Compact"/>
      </w:pPr>
      <w:r>
        <w:t xml:space="preserve">Antes del despliegue en producción, los parches se prueban en un</w:t>
      </w:r>
      <w:r>
        <w:t xml:space="preserve"> </w:t>
      </w:r>
      <w:r>
        <w:rPr>
          <w:bCs/>
          <w:b/>
        </w:rPr>
        <w:t xml:space="preserve">entorno de preproducción</w:t>
      </w:r>
      <w:r>
        <w:t xml:space="preserve"> </w:t>
      </w:r>
      <w:r>
        <w:t xml:space="preserve">equivalente al productivo en la medida de lo posible, verificando:</w:t>
      </w:r>
    </w:p>
    <w:p>
      <w:pPr>
        <w:numPr>
          <w:ilvl w:val="0"/>
          <w:numId w:val="1008"/>
        </w:numPr>
        <w:pStyle w:val="Compact"/>
      </w:pPr>
      <w:r>
        <w:t xml:space="preserve">Aplicación correcta del parche.</w:t>
      </w:r>
    </w:p>
    <w:p>
      <w:pPr>
        <w:numPr>
          <w:ilvl w:val="0"/>
          <w:numId w:val="1008"/>
        </w:numPr>
        <w:pStyle w:val="Compact"/>
      </w:pPr>
      <w:r>
        <w:t xml:space="preserve">No regresión funcional.</w:t>
      </w:r>
    </w:p>
    <w:p>
      <w:pPr>
        <w:numPr>
          <w:ilvl w:val="0"/>
          <w:numId w:val="1008"/>
        </w:numPr>
        <w:pStyle w:val="Compact"/>
      </w:pPr>
      <w:r>
        <w:t xml:space="preserve">Compatibilidad con las personalizaciones existentes.</w:t>
      </w:r>
    </w:p>
    <w:p>
      <w:pPr>
        <w:numPr>
          <w:ilvl w:val="0"/>
          <w:numId w:val="1009"/>
        </w:numPr>
        <w:pStyle w:val="Compact"/>
      </w:pPr>
      <w:r>
        <w:t xml:space="preserve">Cuando la criticidad CRÍTICA con explotación activa exija aplicación inmediata, las pruebas pueden reducirse o realizarse en paralelo, asumiendo el riesgo bajo decisión expresa del Responsable de la Seguridad.</w:t>
      </w:r>
    </w:p>
    <w:bookmarkEnd w:id="34"/>
    <w:bookmarkStart w:id="35" w:name="despliegue"/>
    <w:p>
      <w:pPr>
        <w:pStyle w:val="Heading3"/>
      </w:pPr>
      <w:r>
        <w:t xml:space="preserve">7.4 Despliegue</w:t>
      </w:r>
    </w:p>
    <w:p>
      <w:pPr>
        <w:numPr>
          <w:ilvl w:val="0"/>
          <w:numId w:val="1010"/>
        </w:numPr>
      </w:pPr>
      <w:r>
        <w:t xml:space="preserve">El despliegue se realiza conforme al</w:t>
      </w:r>
      <w:r>
        <w:t xml:space="preserve"> </w:t>
      </w:r>
      <w:r>
        <w:rPr>
          <w:bCs/>
          <w:b/>
        </w:rPr>
        <w:t xml:space="preserve">procedimiento de gestión de cambios</w:t>
      </w:r>
      <w:r>
        <w:t xml:space="preserve"> </w:t>
      </w:r>
      <w:r>
        <w:t xml:space="preserve">({{ proyecto.codigo_documento_base }}-206), con la autorización correspondiente al riesgo del cambio.</w:t>
      </w:r>
    </w:p>
    <w:p>
      <w:pPr>
        <w:numPr>
          <w:ilvl w:val="0"/>
          <w:numId w:val="1010"/>
        </w:numPr>
      </w:pPr>
      <w:r>
        <w:t xml:space="preserve">Para parches CRÍTICOS, la autorización puede ser</w:t>
      </w:r>
      <w:r>
        <w:t xml:space="preserve"> </w:t>
      </w:r>
      <w:r>
        <w:rPr>
          <w:bCs/>
          <w:b/>
        </w:rPr>
        <w:t xml:space="preserve">abreviada</w:t>
      </w:r>
      <w:r>
        <w:t xml:space="preserve"> </w:t>
      </w:r>
      <w:r>
        <w:t xml:space="preserve">mediante el procedimiento de cambio de emergencia.</w:t>
      </w:r>
    </w:p>
    <w:p>
      <w:pPr>
        <w:numPr>
          <w:ilvl w:val="0"/>
          <w:numId w:val="1010"/>
        </w:numPr>
      </w:pPr>
      <w:r>
        <w:t xml:space="preserve">El despliegue se documenta indicando:</w:t>
      </w:r>
    </w:p>
    <w:p>
      <w:pPr>
        <w:numPr>
          <w:ilvl w:val="0"/>
          <w:numId w:val="1011"/>
        </w:numPr>
        <w:pStyle w:val="Compact"/>
      </w:pPr>
      <w:r>
        <w:t xml:space="preserve">Fecha y hora exacta.</w:t>
      </w:r>
    </w:p>
    <w:p>
      <w:pPr>
        <w:numPr>
          <w:ilvl w:val="0"/>
          <w:numId w:val="1011"/>
        </w:numPr>
        <w:pStyle w:val="Compact"/>
      </w:pPr>
      <w:r>
        <w:t xml:space="preserve">Sistemas afectados.</w:t>
      </w:r>
    </w:p>
    <w:p>
      <w:pPr>
        <w:numPr>
          <w:ilvl w:val="0"/>
          <w:numId w:val="1011"/>
        </w:numPr>
        <w:pStyle w:val="Compact"/>
      </w:pPr>
      <w:r>
        <w:t xml:space="preserve">Persona que ejecuta el despliegue.</w:t>
      </w:r>
    </w:p>
    <w:p>
      <w:pPr>
        <w:numPr>
          <w:ilvl w:val="0"/>
          <w:numId w:val="1011"/>
        </w:numPr>
        <w:pStyle w:val="Compact"/>
      </w:pPr>
      <w:r>
        <w:t xml:space="preserve">Parche aplicado (referencia del fabricante).</w:t>
      </w:r>
    </w:p>
    <w:p>
      <w:pPr>
        <w:numPr>
          <w:ilvl w:val="0"/>
          <w:numId w:val="1011"/>
        </w:numPr>
        <w:pStyle w:val="Compact"/>
      </w:pPr>
      <w:r>
        <w:t xml:space="preserve">Resultado.</w:t>
      </w:r>
    </w:p>
    <w:bookmarkEnd w:id="35"/>
    <w:bookmarkStart w:id="36" w:name="verificación"/>
    <w:p>
      <w:pPr>
        <w:pStyle w:val="Heading3"/>
      </w:pPr>
      <w:r>
        <w:t xml:space="preserve">7.5 Verificación</w:t>
      </w:r>
    </w:p>
    <w:p>
      <w:pPr>
        <w:numPr>
          <w:ilvl w:val="0"/>
          <w:numId w:val="1012"/>
        </w:numPr>
        <w:pStyle w:val="Compact"/>
      </w:pPr>
      <w:r>
        <w:t xml:space="preserve">Tras el despliegue, se verifica que el parche se ha aplicado correctamente, mediante:</w:t>
      </w:r>
    </w:p>
    <w:p>
      <w:pPr>
        <w:numPr>
          <w:ilvl w:val="0"/>
          <w:numId w:val="1013"/>
        </w:numPr>
        <w:pStyle w:val="Compact"/>
      </w:pPr>
      <w:r>
        <w:t xml:space="preserve">Comprobación manual o automatizada del número de versión.</w:t>
      </w:r>
    </w:p>
    <w:p>
      <w:pPr>
        <w:numPr>
          <w:ilvl w:val="0"/>
          <w:numId w:val="1013"/>
        </w:numPr>
        <w:pStyle w:val="Compact"/>
      </w:pPr>
      <w:r>
        <w:t xml:space="preserve">Re-escaneo de la vulnerabilidad para confirmar su mitigación.</w:t>
      </w:r>
    </w:p>
    <w:p>
      <w:pPr>
        <w:numPr>
          <w:ilvl w:val="0"/>
          <w:numId w:val="1013"/>
        </w:numPr>
        <w:pStyle w:val="Compact"/>
      </w:pPr>
      <w:r>
        <w:t xml:space="preserve">Verificación del funcionamiento del servicio afectado.</w:t>
      </w:r>
    </w:p>
    <w:p>
      <w:pPr>
        <w:numPr>
          <w:ilvl w:val="0"/>
          <w:numId w:val="1014"/>
        </w:numPr>
        <w:pStyle w:val="Compact"/>
      </w:pPr>
      <w:r>
        <w:t xml:space="preserve">La verificación se documenta en el Sistema de Gestión de Vulnerabilidades.</w:t>
      </w:r>
    </w:p>
    <w:bookmarkEnd w:id="36"/>
    <w:bookmarkStart w:id="37" w:name="cierre"/>
    <w:p>
      <w:pPr>
        <w:pStyle w:val="Heading3"/>
      </w:pPr>
      <w:r>
        <w:t xml:space="preserve">7.6 Cierre</w:t>
      </w:r>
    </w:p>
    <w:p>
      <w:pPr>
        <w:numPr>
          <w:ilvl w:val="0"/>
          <w:numId w:val="1015"/>
        </w:numPr>
        <w:pStyle w:val="Compact"/>
      </w:pPr>
      <w:r>
        <w:t xml:space="preserve">La vulnerabilidad se marca como</w:t>
      </w:r>
      <w:r>
        <w:t xml:space="preserve"> </w:t>
      </w:r>
      <w:r>
        <w:rPr>
          <w:bCs/>
          <w:b/>
        </w:rPr>
        <w:t xml:space="preserve">MITIGADA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CERRADA</w:t>
      </w:r>
      <w:r>
        <w:t xml:space="preserve"> </w:t>
      </w:r>
      <w:r>
        <w:t xml:space="preserve">en el sistema, registrando la fecha y la persona que verifica el cierre.</w:t>
      </w:r>
    </w:p>
    <w:bookmarkEnd w:id="37"/>
    <w:bookmarkEnd w:id="38"/>
    <w:bookmarkStart w:id="39" w:name="excepciones"/>
    <w:p>
      <w:pPr>
        <w:pStyle w:val="Heading2"/>
      </w:pPr>
      <w:r>
        <w:t xml:space="preserve">8. EXCEPCIONES</w:t>
      </w:r>
    </w:p>
    <w:p>
      <w:pPr>
        <w:numPr>
          <w:ilvl w:val="0"/>
          <w:numId w:val="1016"/>
        </w:numPr>
        <w:pStyle w:val="Compact"/>
      </w:pPr>
      <w:r>
        <w:t xml:space="preserve">Cuando no sea técnicamente posible o económicamente proporcionado aplicar un parche en plazo, se gestionará como</w:t>
      </w:r>
      <w:r>
        <w:t xml:space="preserve"> </w:t>
      </w:r>
      <w:r>
        <w:rPr>
          <w:bCs/>
          <w:b/>
        </w:rPr>
        <w:t xml:space="preserve">excepción</w:t>
      </w:r>
      <w:r>
        <w:t xml:space="preserve"> </w:t>
      </w:r>
      <w:r>
        <w:t xml:space="preserve">conforme al apartado 9 de la Política {{ proyecto.codigo_documento_base }}-100, documentando:</w:t>
      </w:r>
    </w:p>
    <w:p>
      <w:pPr>
        <w:numPr>
          <w:ilvl w:val="0"/>
          <w:numId w:val="1017"/>
        </w:numPr>
        <w:pStyle w:val="Compact"/>
      </w:pPr>
      <w:r>
        <w:t xml:space="preserve">Vulnerabilidad afectada.</w:t>
      </w:r>
    </w:p>
    <w:p>
      <w:pPr>
        <w:numPr>
          <w:ilvl w:val="0"/>
          <w:numId w:val="1017"/>
        </w:numPr>
        <w:pStyle w:val="Compact"/>
      </w:pPr>
      <w:r>
        <w:t xml:space="preserve">Motivo de la excepción.</w:t>
      </w:r>
    </w:p>
    <w:p>
      <w:pPr>
        <w:numPr>
          <w:ilvl w:val="0"/>
          <w:numId w:val="1017"/>
        </w:numPr>
        <w:pStyle w:val="Compact"/>
      </w:pPr>
      <w:r>
        <w:t xml:space="preserve">Riesgo asumido.</w:t>
      </w:r>
    </w:p>
    <w:p>
      <w:pPr>
        <w:numPr>
          <w:ilvl w:val="0"/>
          <w:numId w:val="1017"/>
        </w:numPr>
        <w:pStyle w:val="Compact"/>
      </w:pPr>
      <w:r>
        <w:t xml:space="preserve">Mitigaciones compensatorias adoptadas.</w:t>
      </w:r>
    </w:p>
    <w:p>
      <w:pPr>
        <w:numPr>
          <w:ilvl w:val="0"/>
          <w:numId w:val="1017"/>
        </w:numPr>
        <w:pStyle w:val="Compact"/>
      </w:pPr>
      <w:r>
        <w:t xml:space="preserve">Plazo máximo de la excepción.</w:t>
      </w:r>
    </w:p>
    <w:p>
      <w:pPr>
        <w:numPr>
          <w:ilvl w:val="0"/>
          <w:numId w:val="1017"/>
        </w:numPr>
        <w:pStyle w:val="Compact"/>
      </w:pPr>
      <w:r>
        <w:t xml:space="preserve">Plan para su resolución definitiva.</w:t>
      </w:r>
    </w:p>
    <w:p>
      <w:pPr>
        <w:numPr>
          <w:ilvl w:val="0"/>
          <w:numId w:val="1018"/>
        </w:numPr>
        <w:pStyle w:val="Compact"/>
      </w:pPr>
      <w:r>
        <w:t xml:space="preserve">Las excepciones requieren autorización del Responsable de la Seguridad y, para vulnerabilidades CRÍTICAS o ALTAS, del Comité de Seguridad.</w:t>
      </w:r>
    </w:p>
    <w:bookmarkEnd w:id="39"/>
    <w:bookmarkStart w:id="40" w:name="sistemas-legacy-sin-soporte"/>
    <w:p>
      <w:pPr>
        <w:pStyle w:val="Heading2"/>
      </w:pPr>
      <w:r>
        <w:t xml:space="preserve">9. SISTEMAS LEGACY SIN SOPORTE</w:t>
      </w:r>
    </w:p>
    <w:p>
      <w:pPr>
        <w:numPr>
          <w:ilvl w:val="0"/>
          <w:numId w:val="1019"/>
        </w:numPr>
      </w:pPr>
      <w:r>
        <w:t xml:space="preserve">Los sistemas que dejan de recibir soporte del fabricante (end-of-life) serán identificados con anticipación y se planificará su sustitución o migración.</w:t>
      </w:r>
    </w:p>
    <w:p>
      <w:pPr>
        <w:numPr>
          <w:ilvl w:val="0"/>
          <w:numId w:val="1019"/>
        </w:numPr>
      </w:pPr>
      <w:r>
        <w:t xml:space="preserve">Cuando no sea posible su sustitución inmediata, se aplicarán</w:t>
      </w:r>
      <w:r>
        <w:t xml:space="preserve"> </w:t>
      </w:r>
      <w:r>
        <w:rPr>
          <w:bCs/>
          <w:b/>
        </w:rPr>
        <w:t xml:space="preserve">medidas compensatorias reforzadas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Aislamiento de red.</w:t>
      </w:r>
    </w:p>
    <w:p>
      <w:pPr>
        <w:numPr>
          <w:ilvl w:val="0"/>
          <w:numId w:val="1020"/>
        </w:numPr>
        <w:pStyle w:val="Compact"/>
      </w:pPr>
      <w:r>
        <w:t xml:space="preserve">Monitorización intensificada.</w:t>
      </w:r>
    </w:p>
    <w:p>
      <w:pPr>
        <w:numPr>
          <w:ilvl w:val="0"/>
          <w:numId w:val="1020"/>
        </w:numPr>
        <w:pStyle w:val="Compact"/>
      </w:pPr>
      <w:r>
        <w:t xml:space="preserve">Restricción máxima de accesos.</w:t>
      </w:r>
    </w:p>
    <w:p>
      <w:pPr>
        <w:numPr>
          <w:ilvl w:val="0"/>
          <w:numId w:val="1020"/>
        </w:numPr>
        <w:pStyle w:val="Compact"/>
      </w:pPr>
      <w:r>
        <w:t xml:space="preserve">Plan documentado de salida con plazos.</w:t>
      </w:r>
    </w:p>
    <w:bookmarkEnd w:id="40"/>
    <w:bookmarkStart w:id="41" w:name="indicadores"/>
    <w:p>
      <w:pPr>
        <w:pStyle w:val="Heading2"/>
      </w:pPr>
      <w:r>
        <w:t xml:space="preserve">10.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Vulnerabilidades CRÍTICAS abiertas &gt;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Vulnerabilidades ALTAS abiertas &gt;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medio de aplicación parches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del escaneo (activos escaneados / inventariados)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Excepciones vigentes documentadas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41"/>
    <w:bookmarkStart w:id="42" w:name="anexos"/>
    <w:p>
      <w:pPr>
        <w:pStyle w:val="Heading2"/>
      </w:pPr>
      <w:r>
        <w:t xml:space="preserve">11. ANEXOS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Plantilla del Informe Mensual de Vulnerabilidades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Formulario de Excepción de Parcheo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Lista de fuentes de información monitorizadas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Calendario de escaneos programados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}}-218 — Versión {{ proyecto.version_actual }} — Clasificación: INTERNA</w:t>
      </w:r>
    </w:p>
    <w:bookmarkEnd w:id="42"/>
    <w:bookmarkEnd w:id="4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E-205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E-205 · Procedimiento de Gestión de Vulnerabilidades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1"/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1"/>
  </w:num>
  <w:num w:numId="101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}}-218</vt:lpwstr>
  </property>
  <property fmtid="{D5CDD505-2E9C-101B-9397-08002B2CF9AE}" pid="4" name="fecha_aprobacion">
    <vt:lpwstr>{{ proyecto.fecha_aprobacion_inicial }}</vt:lpwstr>
  </property>
  <property fmtid="{D5CDD505-2E9C-101B-9397-08002B2CF9AE}" pid="5" name="fecha_proxima_revision">
    <vt:lpwstr>{{ proyecto.proxima_revision }}</vt:lpwstr>
  </property>
  <property fmtid="{D5CDD505-2E9C-101B-9397-08002B2CF9AE}" pid="6" name="politica_madre">
    <vt:lpwstr>{{ proyecto.codigo_documento_base }}-100, {{ proyecto.codigo_documento_base }}-105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Procedimiento de Gestión de Vulnerabilidades y Parches</vt:lpwstr>
  </property>
  <property fmtid="{D5CDD505-2E9C-101B-9397-08002B2CF9AE}" pid="9" name="version">
    <vt:lpwstr>{{ proyecto.version_actual }}</vt:lpwstr>
  </property>
</Properties>
</file>