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a2a971ee0f6d79e3aa51620dcf68c129439a2b"/>
    <w:p>
      <w:pPr>
        <w:pStyle w:val="Heading1"/>
      </w:pPr>
      <w:r>
        <w:t xml:space="preserve">PROCEDIMIENTO DE GESTIÓN DE CUENTAS PRIVILEGIADAS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}}-211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reglas operativas específicas para la creación, uso, monitorización, rotación y revocación de cuentas con privilegios elevados.</w:t>
      </w:r>
    </w:p>
    <w:bookmarkEnd w:id="20"/>
    <w:bookmarkStart w:id="21" w:name="inventario-de-cuentas-privilegiadas"/>
    <w:p>
      <w:pPr>
        <w:pStyle w:val="Heading2"/>
      </w:pPr>
      <w:r>
        <w:t xml:space="preserve">2. INVENTARIO DE CUENTAS PRIVILEGIADAS</w:t>
      </w:r>
    </w:p>
    <w:p>
      <w:pPr>
        <w:pStyle w:val="FirstParagraph"/>
      </w:pPr>
      <w:r>
        <w:t xml:space="preserve">El Responsable del Sistema mantendrá un</w:t>
      </w:r>
      <w:r>
        <w:t xml:space="preserve"> </w:t>
      </w:r>
      <w:r>
        <w:rPr>
          <w:bCs/>
          <w:b/>
        </w:rPr>
        <w:t xml:space="preserve">inventario actualizado</w:t>
      </w:r>
      <w:r>
        <w:t xml:space="preserve"> </w:t>
      </w:r>
      <w:r>
        <w:t xml:space="preserve">de todas las cuentas privilegiadas, indicando: identificador, tipo (admin de dominio, root, DBA, admin cloud, cuenta de servicio, break-glass), persona o sistema asignado, privilegios concretos, fecha de última revisión, fecha de última rotación de credenciales.</w:t>
      </w:r>
    </w:p>
    <w:bookmarkEnd w:id="21"/>
    <w:bookmarkStart w:id="22" w:name="creación"/>
    <w:p>
      <w:pPr>
        <w:pStyle w:val="Heading2"/>
      </w:pPr>
      <w:r>
        <w:t xml:space="preserve">3. CREACIÓN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 con justificación de la necesidad del privilegio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jerárquico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del Responsable de la Seguridad (obligatoria para toda cuenta privilegiada)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la cuenta separada (nomenclatura:</w:t>
            </w:r>
            <w:r>
              <w:t xml:space="preserve"> </w:t>
            </w:r>
            <w:r>
              <w:rPr>
                <w:rStyle w:val="VerbatimChar"/>
              </w:rPr>
              <w:t xml:space="preserve">adm-{nombre}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svc-{sistema}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Activación MFA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credenciales en vault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 el inventario de cuentas privilegiadas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</w:tbl>
    <w:bookmarkEnd w:id="22"/>
    <w:bookmarkStart w:id="23" w:name="reglas-de-uso"/>
    <w:p>
      <w:pPr>
        <w:pStyle w:val="Heading2"/>
      </w:pPr>
      <w:r>
        <w:t xml:space="preserve">4. REGLAS DE USO</w:t>
      </w:r>
    </w:p>
    <w:p>
      <w:pPr>
        <w:numPr>
          <w:ilvl w:val="0"/>
          <w:numId w:val="1001"/>
        </w:numPr>
      </w:pPr>
      <w:r>
        <w:t xml:space="preserve">La cuenta privilegiada se usará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para las tareas que requieran ese nivel de privilegio. Para actividades ordinarias (correo, navegación, ofimática) se usará la cuenta nominativa estándar.</w:t>
      </w:r>
    </w:p>
    <w:p>
      <w:pPr>
        <w:numPr>
          <w:ilvl w:val="0"/>
          <w:numId w:val="1001"/>
        </w:numPr>
      </w:pPr>
      <w:r>
        <w:t xml:space="preserve">Las sesiones privilegiadas tendrán</w:t>
      </w:r>
      <w:r>
        <w:t xml:space="preserve"> </w:t>
      </w:r>
      <w:r>
        <w:rPr>
          <w:bCs/>
          <w:b/>
        </w:rPr>
        <w:t xml:space="preserve">duración limitada</w:t>
      </w:r>
      <w:r>
        <w:t xml:space="preserve"> </w:t>
      </w:r>
      <w:r>
        <w:t xml:space="preserve">y, cuando la tecnología lo permita, se implementará</w:t>
      </w:r>
      <w:r>
        <w:t xml:space="preserve"> </w:t>
      </w:r>
      <w:r>
        <w:rPr>
          <w:bCs/>
          <w:b/>
        </w:rPr>
        <w:t xml:space="preserve">Just-in-Time (JIT)</w:t>
      </w:r>
      <w:r>
        <w:t xml:space="preserve">: el usuario solicita el privilegio → se le concede por un periodo definido (1-4 horas) → se revoca automáticamente.</w:t>
      </w:r>
    </w:p>
    <w:p>
      <w:pPr>
        <w:numPr>
          <w:ilvl w:val="0"/>
          <w:numId w:val="1001"/>
        </w:numPr>
      </w:pPr>
      <w:r>
        <w:t xml:space="preserve">Todas las sesiones privilegiadas se</w:t>
      </w:r>
      <w:r>
        <w:t xml:space="preserve"> </w:t>
      </w:r>
      <w:r>
        <w:rPr>
          <w:bCs/>
          <w:b/>
        </w:rPr>
        <w:t xml:space="preserve">registrarán con detalle</w:t>
      </w:r>
      <w:r>
        <w:t xml:space="preserve"> </w:t>
      </w:r>
      <w:r>
        <w:t xml:space="preserve">en el SIEM, incluyendo: usuario, sistema, hora inicio/fin, comandos ejecutados (cuando sea técnicamente viable).</w:t>
      </w:r>
    </w:p>
    <w:p>
      <w:pPr>
        <w:numPr>
          <w:ilvl w:val="0"/>
          <w:numId w:val="1001"/>
        </w:numPr>
      </w:pPr>
      <w:r>
        <w:t xml:space="preserve">Se realizarán</w:t>
      </w:r>
      <w:r>
        <w:t xml:space="preserve"> </w:t>
      </w:r>
      <w:r>
        <w:rPr>
          <w:bCs/>
          <w:b/>
        </w:rPr>
        <w:t xml:space="preserve">grabaciones de sesión</w:t>
      </w:r>
      <w:r>
        <w:t xml:space="preserve"> </w:t>
      </w:r>
      <w:r>
        <w:t xml:space="preserve">para los accesos privilegiados a sistemas críticos, conforme al nivel de la categoría ENS.</w:t>
      </w:r>
    </w:p>
    <w:bookmarkEnd w:id="23"/>
    <w:bookmarkStart w:id="24" w:name="rotación-de-credenciales"/>
    <w:p>
      <w:pPr>
        <w:pStyle w:val="Heading2"/>
      </w:pPr>
      <w:r>
        <w:t xml:space="preserve">5. ROTACIÓN DE CREDENCIALES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rotación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de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/ Administrator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de servicio privilegiada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cada uso + semestral preventiva</w:t>
            </w:r>
          </w:p>
        </w:tc>
      </w:tr>
    </w:tbl>
    <w:bookmarkEnd w:id="24"/>
    <w:bookmarkStart w:id="25" w:name="cuentas-break-glass"/>
    <w:p>
      <w:pPr>
        <w:pStyle w:val="Heading2"/>
      </w:pPr>
      <w:r>
        <w:t xml:space="preserve">6. CUENTAS BREAK-GLASS</w:t>
      </w:r>
    </w:p>
    <w:p>
      <w:pPr>
        <w:numPr>
          <w:ilvl w:val="0"/>
          <w:numId w:val="1002"/>
        </w:numPr>
      </w:pPr>
      <w:r>
        <w:t xml:space="preserve">Las credenciales se custodian en</w:t>
      </w:r>
      <w:r>
        <w:t xml:space="preserve"> </w:t>
      </w:r>
      <w:r>
        <w:rPr>
          <w:bCs/>
          <w:b/>
        </w:rPr>
        <w:t xml:space="preserve">sobre sellado en caja fuerte</w:t>
      </w:r>
      <w:r>
        <w:t xml:space="preserve"> </w:t>
      </w:r>
      <w:r>
        <w:t xml:space="preserve">con doble control de acceso.</w:t>
      </w:r>
    </w:p>
    <w:p>
      <w:pPr>
        <w:numPr>
          <w:ilvl w:val="0"/>
          <w:numId w:val="1002"/>
        </w:numPr>
      </w:pPr>
      <w:r>
        <w:t xml:space="preserve">El uso requiere: autorización del Resp. Seguridad (o del Comité de Crisis en incidente CRÍTICO), apertura con testigo, registro detallado de todas las acciones.</w:t>
      </w:r>
    </w:p>
    <w:p>
      <w:pPr>
        <w:numPr>
          <w:ilvl w:val="0"/>
          <w:numId w:val="1002"/>
        </w:numPr>
      </w:pPr>
      <w:r>
        <w:t xml:space="preserve">Tras el uso: cambio inmediato de credenciales, resellado del sobre, informe de uso al Comité de Seguridad.</w:t>
      </w:r>
    </w:p>
    <w:bookmarkEnd w:id="25"/>
    <w:bookmarkStart w:id="26" w:name="revisión-trimestral"/>
    <w:p>
      <w:pPr>
        <w:pStyle w:val="Heading2"/>
      </w:pPr>
      <w:r>
        <w:t xml:space="preserve">7. REVISIÓN TRIMESTRAL</w:t>
      </w:r>
    </w:p>
    <w:p>
      <w:pPr>
        <w:pStyle w:val="FirstParagraph"/>
      </w:pPr>
      <w:r>
        <w:t xml:space="preserve">Cada trimestre el Resp. Seguridad verifica: vigencia de cada cuenta privilegiada, justificación actualizada, cumplimiento de MFA, última rotación, sesiones registradas.</w:t>
      </w:r>
    </w:p>
    <w:bookmarkEnd w:id="26"/>
    <w:bookmarkStart w:id="27" w:name="indicadores"/>
    <w:p>
      <w:pPr>
        <w:pStyle w:val="Heading2"/>
      </w:pPr>
      <w:r>
        <w:t xml:space="preserve">8.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privilegiadas con MFA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con credenciales rotadas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privilegiadas sin uso &gt; 60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(deshabilitar)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Usos de break-glass sin registro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}}-211 — Versión {{ proyecto.version_actual }} — Clasificación: INTERNA</w:t>
      </w:r>
    </w:p>
    <w:bookmarkEnd w:id="27"/>
    <w:bookmarkEnd w:id="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E-211 · Documento E-211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}}-211</vt:lpwstr>
  </property>
  <property fmtid="{D5CDD505-2E9C-101B-9397-08002B2CF9AE}" pid="4" name="politica_madre">
    <vt:lpwstr>{{ proyecto.codigo_documento_base }}-117</vt:lpwstr>
  </property>
  <property fmtid="{D5CDD505-2E9C-101B-9397-08002B2CF9AE}" pid="5" name="titulo">
    <vt:lpwstr>Procedimiento de Gestión de Cuentas Privilegiadas</vt:lpwstr>
  </property>
  <property fmtid="{D5CDD505-2E9C-101B-9397-08002B2CF9AE}" pid="6" name="version">
    <vt:lpwstr>{{ proyecto.version_actual }}</vt:lpwstr>
  </property>
</Properties>
</file>