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c5b40b082a2cf5d3da0dc50f46b36b23963d41"/>
    <w:p>
      <w:pPr>
        <w:pStyle w:val="Heading1"/>
      </w:pPr>
      <w:r>
        <w:t xml:space="preserve">PROCEDIMIENTO DE RESPUESTA A BRECHAS DE DATOS PERSONALES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}}-212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Detallar las acciones operativas desde la detección de una brecha de seguridad que afecta a datos personales hasta su notificación a la AEPD y, cuando proceda, la comunicación a los interesados, en desarrollo de la Política E-119 y en coordinación con el procedimiento de gestión de incidentes E-204.</w:t>
      </w:r>
    </w:p>
    <w:bookmarkEnd w:id="20"/>
    <w:bookmarkStart w:id="27" w:name="flujo-operativo"/>
    <w:p>
      <w:pPr>
        <w:pStyle w:val="Heading2"/>
      </w:pPr>
      <w:r>
        <w:t xml:space="preserve">2. FLUJO OPERATIVO</w:t>
      </w:r>
    </w:p>
    <w:bookmarkStart w:id="21" w:name="X934a42ecda801f240c3206a506e1740261acd2d"/>
    <w:p>
      <w:pPr>
        <w:pStyle w:val="Heading3"/>
      </w:pPr>
      <w:r>
        <w:t xml:space="preserve">Fase 1 — Detección y escalado (T+0 a T+2 horas)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 del incidente (vía E-204) que potencialmente afecta a datos personales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persona / SIEM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Resp. Seguridad activa al DPO inmediatamente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DPO valora si el incidente constituye una brecha de datos personales conforme al art. 4.12 RGPD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</w:tr>
    </w:tbl>
    <w:bookmarkEnd w:id="21"/>
    <w:bookmarkStart w:id="22" w:name="X2ba9d7cf933d45801f7fbcce11a21e8f911586a"/>
    <w:p>
      <w:pPr>
        <w:pStyle w:val="Heading3"/>
      </w:pPr>
      <w:r>
        <w:t xml:space="preserve">Fase 2 — Valoración del riesgo (T+2 a T+12 horas)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Determinar: tipo de brecha (confidencialidad/integridad/disponibilidad), categorías de datos afectados, nº de interesados, volumen de 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+ 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Evaluar nivel de riesgo para los derechos y libertades con los 6 criterios de E-119 §3.2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la valoración en el</w:t>
            </w:r>
            <w:r>
              <w:t xml:space="preserve"> </w:t>
            </w:r>
            <w:r>
              <w:rPr>
                <w:bCs/>
                <w:b/>
              </w:rPr>
              <w:t xml:space="preserve">Formulario de Valoración de Brecha</w:t>
            </w:r>
            <w:r>
              <w:t xml:space="preserve"> </w:t>
            </w:r>
            <w:r>
              <w:t xml:space="preserve">(Anexo 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</w:tr>
    </w:tbl>
    <w:bookmarkEnd w:id="22"/>
    <w:bookmarkStart w:id="23" w:name="Xd0dfcf5d4f3939ffbaa4725da071a74d34c8698"/>
    <w:p>
      <w:pPr>
        <w:pStyle w:val="Heading3"/>
      </w:pPr>
      <w:r>
        <w:t xml:space="preserve">Fase 3 — Decisión de notificación (T+12 a T+24 horas)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riesgo = sin riesgo → registrar en el Registro de Brechas sin notificar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riesgo = bajo/medio/alto →</w:t>
            </w:r>
            <w:r>
              <w:t xml:space="preserve"> </w:t>
            </w:r>
            <w:r>
              <w:rPr>
                <w:bCs/>
                <w:b/>
              </w:rPr>
              <w:t xml:space="preserve">notificar a la AEPD</w:t>
            </w:r>
            <w:r>
              <w:t xml:space="preserve"> </w:t>
            </w:r>
            <w:r>
              <w:t xml:space="preserve">(seguir Fase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riesgo = alto → adicionalmente</w:t>
            </w:r>
            <w:r>
              <w:t xml:space="preserve"> </w:t>
            </w:r>
            <w:r>
              <w:rPr>
                <w:bCs/>
                <w:b/>
              </w:rPr>
              <w:t xml:space="preserve">comunicar a los interesados</w:t>
            </w:r>
            <w:r>
              <w:t xml:space="preserve"> </w:t>
            </w:r>
            <w:r>
              <w:t xml:space="preserve">(seguir Fase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</w:tr>
    </w:tbl>
    <w:bookmarkEnd w:id="23"/>
    <w:bookmarkStart w:id="24" w:name="X8f856555aea07eaf197abd7a07ea96c32cc1259"/>
    <w:p>
      <w:pPr>
        <w:pStyle w:val="Heading3"/>
      </w:pPr>
      <w:r>
        <w:t xml:space="preserve">Fase 4 — Notificación a la AEPD (≤ 72 horas desde conocimiento)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Acceder a la sede electrónica de la AEPD: https://sedeaepd.gob.es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Cumplimentar el</w:t>
            </w:r>
            <w:r>
              <w:t xml:space="preserve"> </w:t>
            </w:r>
            <w:r>
              <w:rPr>
                <w:bCs/>
                <w:b/>
              </w:rPr>
              <w:t xml:space="preserve">formulario de notificación de brechas</w:t>
            </w:r>
            <w:r>
              <w:t xml:space="preserve"> </w:t>
            </w:r>
            <w:r>
              <w:t xml:space="preserve">con: naturaleza, categorías y nº de interesados, datos contacto DPO, consecuencias probables, medidas adoptadas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la notificación no puede completarse en 72h: enviar notificación parcial con motivos del retraso y completar después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 el acuse de recibo de la notificación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 a la AEPD informada de la evolución si se solicita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</w:tr>
    </w:tbl>
    <w:bookmarkEnd w:id="24"/>
    <w:bookmarkStart w:id="25" w:name="X30af33193eabf2a6820e3f5e7a271c55ac65a37"/>
    <w:p>
      <w:pPr>
        <w:pStyle w:val="Heading3"/>
      </w:pPr>
      <w:r>
        <w:t xml:space="preserve">Fase 5 — Comunicación a los interesados (sin dilación si riesgo alto)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Redactar la comunicación en lenguaje claro y sencillo conforme a E-119 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+ Comunicación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de comunicación: email directo cuando se disponga del email del interesado; publicación en web corporativa cuando no sea posible la comunicación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los envíos realizados y los acuses de recibo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</w:tr>
    </w:tbl>
    <w:bookmarkEnd w:id="25"/>
    <w:bookmarkStart w:id="26" w:name="fase-6-registro-y-cierre"/>
    <w:p>
      <w:pPr>
        <w:pStyle w:val="Heading3"/>
      </w:pPr>
      <w:r>
        <w:t xml:space="preserve">Fase 6 — Registro y cierre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la brecha completa en el</w:t>
            </w:r>
            <w:r>
              <w:t xml:space="preserve"> </w:t>
            </w:r>
            <w:r>
              <w:rPr>
                <w:bCs/>
                <w:b/>
              </w:rPr>
              <w:t xml:space="preserve">Registro de Brechas de Datos Personales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Integrar las lecciones aprendidas en el informe post-incidente de E-204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 + DPO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la brecha revela deficiencias en los controles: abrir acción correctiva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</w:tbl>
    <w:bookmarkEnd w:id="26"/>
    <w:bookmarkEnd w:id="27"/>
    <w:bookmarkStart w:id="28" w:name="indicadores"/>
    <w:p>
      <w:pPr>
        <w:pStyle w:val="Heading2"/>
      </w:pPr>
      <w:r>
        <w:t xml:space="preserve">3. INDICADORES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 a la AEPD dentro del plazo de 72h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Brechas registradas en el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Comunicaciones a interesados realizadas sin dilación (riesgo alto)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}}-212 — Versión {{ proyecto.version_actual }} — Clasificación: INTERNA</w:t>
      </w:r>
    </w:p>
    <w:bookmarkEnd w:id="28"/>
    <w:bookmarkEnd w:id="29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E-212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E-212 · Documento E-212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2026-04-14T18:00:39Z</dcterms:created>
  <dcterms:modified xsi:type="dcterms:W3CDTF">2026-04-14T18:00:39Z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}}-212</vt:lpwstr>
  </property>
  <property fmtid="{D5CDD505-2E9C-101B-9397-08002B2CF9AE}" pid="4" name="politica_madre">
    <vt:lpwstr>{{ proyecto.codigo_documento_base }}-119</vt:lpwstr>
  </property>
  <property fmtid="{D5CDD505-2E9C-101B-9397-08002B2CF9AE}" pid="5" name="titulo">
    <vt:lpwstr>Procedimiento de Respuesta a Brechas de Datos Personales</vt:lpwstr>
  </property>
  <property fmtid="{D5CDD505-2E9C-101B-9397-08002B2CF9AE}" pid="6" name="version">
    <vt:lpwstr>{{ proyecto.version_actual }}</vt:lpwstr>
  </property>
</Properties>
</file>