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5d51c52a4415882ac313967c0d593e42192c21"/>
    <w:p>
      <w:pPr>
        <w:pStyle w:val="Heading1"/>
      </w:pPr>
      <w:r>
        <w:t xml:space="preserve">PROCEDIMIENTO DE DESTRUCCIÓN SEGURA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Detallar los pasos operativos para la destrucción irreversible de información en soportes electrónicos, ópticos y en papel, conforme a los niveles de la Política E-126.</w:t>
      </w:r>
    </w:p>
    <w:bookmarkEnd w:id="20"/>
    <w:bookmarkStart w:id="21" w:name="flujo-operativo"/>
    <w:p>
      <w:pPr>
        <w:pStyle w:val="Heading2"/>
      </w:pPr>
      <w:r>
        <w:t xml:space="preserve">2.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de destrucción: soporte identificado, nivel de clasificación, motivo (fin de vida útil, fin de retención, cese de actividad)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Custodio del soporte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que el periodo de conservación legal ha expirado (consultar {{ proyecto.codigo_documento_base }}-221)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datos personales: verificar que se ha completado el periodo de</w:t>
            </w:r>
            <w:r>
              <w:t xml:space="preserve"> </w:t>
            </w:r>
            <w:r>
              <w:rPr>
                <w:bCs/>
                <w:b/>
              </w:rPr>
              <w:t xml:space="preserve">bloqueo</w:t>
            </w:r>
            <w:r>
              <w:t xml:space="preserve"> </w:t>
            </w:r>
            <w:r>
              <w:t xml:space="preserve">del art. 32 LOPDGDD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Selección del método conforme a la tabla de E-126 §2 según nivel de clasificación y tipo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 la destrucción: borrado seguro (ATA Secure Erase, NIST SP 800-88), desmagnetización, trituración física o entrega a proveedor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 o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proveedor externo: obtener</w:t>
            </w:r>
            <w:r>
              <w:t xml:space="preserve"> </w:t>
            </w:r>
            <w:r>
              <w:rPr>
                <w:bCs/>
                <w:b/>
              </w:rPr>
              <w:t xml:space="preserve">certificado de destrucción</w:t>
            </w:r>
            <w:r>
              <w:t xml:space="preserve"> </w:t>
            </w:r>
            <w:r>
              <w:t xml:space="preserve">firmado con: soportes destruidos (S/N), método, fecha, persona responsable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en el</w:t>
            </w:r>
            <w:r>
              <w:t xml:space="preserve"> </w:t>
            </w:r>
            <w:r>
              <w:rPr>
                <w:bCs/>
                <w:b/>
              </w:rPr>
              <w:t xml:space="preserve">Registro de Destrucción</w:t>
            </w:r>
            <w:r>
              <w:t xml:space="preserve">: soporte, contenido, clasificación, método, fecha, ejecutor, referencia al certificado si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Actualización del inventario de soportes (baja)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</w:tbl>
    <w:bookmarkEnd w:id="21"/>
    <w:bookmarkStart w:id="22" w:name="indicadores"/>
    <w:p>
      <w:pPr>
        <w:pStyle w:val="Heading2"/>
      </w:pPr>
      <w:r>
        <w:t xml:space="preserve">3.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Destrucciones con registro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Destrucciones externas con certificado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E-214 · Documento E-214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}}-214</vt:lpwstr>
  </property>
  <property fmtid="{D5CDD505-2E9C-101B-9397-08002B2CF9AE}" pid="4" name="politica_madre">
    <vt:lpwstr>{{ proyecto.codigo_documento_base }}-126</vt:lpwstr>
  </property>
  <property fmtid="{D5CDD505-2E9C-101B-9397-08002B2CF9AE}" pid="5" name="titulo">
    <vt:lpwstr>Procedimiento de Destrucción Segura de Información</vt:lpwstr>
  </property>
  <property fmtid="{D5CDD505-2E9C-101B-9397-08002B2CF9AE}" pid="6" name="version">
    <vt:lpwstr>{{ proyecto.version_actual }}</vt:lpwstr>
  </property>
</Properties>
</file>