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6a14bf32d344dd5997ff1211f9c42eae1702f3"/>
    <w:p>
      <w:pPr>
        <w:pStyle w:val="Heading1"/>
      </w:pPr>
      <w:r>
        <w:t xml:space="preserve">PROCEDIMIENTO DE GESTIÓN DE SOPORTES EXTRAÍBLES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}}-215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Regular el uso, inventario, cifrado, transporte y destrucción de soportes extraíbles (USB, discos externos, cintas, ópticos) que contengan información del alcance del SGSI.</w:t>
      </w:r>
    </w:p>
    <w:bookmarkEnd w:id="20"/>
    <w:bookmarkStart w:id="21" w:name="autorización"/>
    <w:p>
      <w:pPr>
        <w:pStyle w:val="Heading2"/>
      </w:pPr>
      <w:r>
        <w:t xml:space="preserve">2. AUTORIZACIÓN</w:t>
      </w:r>
    </w:p>
    <w:p>
      <w:pPr>
        <w:pStyle w:val="FirstParagraph"/>
      </w:pPr>
      <w:r>
        <w:t xml:space="preserve">El uso de soportes extraíbles para almacenar información CONFIDENCIAL o superior requiere</w:t>
      </w:r>
      <w:r>
        <w:t xml:space="preserve"> </w:t>
      </w:r>
      <w:r>
        <w:rPr>
          <w:bCs/>
          <w:b/>
        </w:rPr>
        <w:t xml:space="preserve">autorización previa del Responsable de la Seguridad</w:t>
      </w:r>
      <w:r>
        <w:t xml:space="preserve">. La conexión de dispositivos USB no autorizados a equipos corporativos podrá ser bloqueada técnicamente mediante políticas de endpoint.</w:t>
      </w:r>
    </w:p>
    <w:bookmarkEnd w:id="21"/>
    <w:bookmarkStart w:id="22" w:name="flujo-operativo"/>
    <w:p>
      <w:pPr>
        <w:pStyle w:val="Heading2"/>
      </w:pPr>
      <w:r>
        <w:t xml:space="preserve">3.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de uso de soporte extraíble con justificación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y asignación de soporte corporativo cifrado del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soporte en el inventario: tipo, S/N, custodio, clasificación máxima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Etiquetado conforme al nivel de clasificación ({{ proyecto.codigo_documento_base }}-104)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Uso: cifrado obligatorio si CONFIDENCIAL+ ({{ proyecto.codigo_documento_base }}-107), almacenamiento en lugar seguro cuando no esté en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Transporte fuera de las instalaciones: conforme a {{ proyecto.codigo_documento_base }}-122 §6, registro de salida en {{ proyecto.codigo_documento_base }}-123 §9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al final de la necesidad: borrado seguro y vuelta al inventario, o destrucción si fin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Custodio → Resp. Sistema</w:t>
            </w:r>
          </w:p>
        </w:tc>
      </w:tr>
    </w:tbl>
    <w:bookmarkEnd w:id="22"/>
    <w:bookmarkStart w:id="23" w:name="indicadores"/>
    <w:p>
      <w:pPr>
        <w:pStyle w:val="Heading2"/>
      </w:pPr>
      <w:r>
        <w:t xml:space="preserve">4.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Soportes extraíbles inventariados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Soportes con información CONFIDENCIAL+ cifrados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E-215 · Documento E-215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}}-215</vt:lpwstr>
  </property>
  <property fmtid="{D5CDD505-2E9C-101B-9397-08002B2CF9AE}" pid="4" name="politica_madre">
    <vt:lpwstr>{{ proyecto.codigo_documento_base }}-122</vt:lpwstr>
  </property>
  <property fmtid="{D5CDD505-2E9C-101B-9397-08002B2CF9AE}" pid="5" name="titulo">
    <vt:lpwstr>Procedimiento de Gestión de Soportes Extraíbles</vt:lpwstr>
  </property>
  <property fmtid="{D5CDD505-2E9C-101B-9397-08002B2CF9AE}" pid="6" name="version">
    <vt:lpwstr>{{ proyecto.version_actual }}</vt:lpwstr>
  </property>
</Properties>
</file>